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56965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696585"/>
                    </a:xfrm>
                    <a:prstGeom prst="rect">
                      <a:avLst/>
                    </a:prstGeom>
                    <a:noFill/>
                  </pic:spPr>
                </pic:pic>
              </a:graphicData>
            </a:graphic>
          </wp:anchor>
        </w:drawing>
      </w:r>
    </w:p>
    <w:p>
      <w:pPr>
        <w:spacing w:after="0" w:line="1185" w:lineRule="exact"/>
        <w:rPr>
          <w:sz w:val="24"/>
          <w:szCs w:val="24"/>
          <w:color w:val="auto"/>
        </w:rPr>
      </w:pPr>
    </w:p>
    <w:p>
      <w:pPr>
        <w:sectPr>
          <w:pgSz w:w="11900" w:h="16838" w:orient="portrait"/>
          <w:cols w:equalWidth="0" w:num="2">
            <w:col w:w="2340" w:space="240"/>
            <w:col w:w="8500"/>
          </w:cols>
          <w:pgMar w:left="460" w:top="218"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KANE CHARLES</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Symbotic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SYM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8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SYMBOTIC INC., 200 RESEARCH DRIVE</w:t>
            </w:r>
          </w:p>
        </w:tc>
        <w:tc>
          <w:tcPr>
            <w:tcW w:w="13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11/02/2026</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364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5" w:lineRule="exact"/>
        <w:rPr>
          <w:sz w:val="20"/>
          <w:szCs w:val="20"/>
          <w:color w:val="auto"/>
        </w:rPr>
      </w:pPr>
    </w:p>
    <w:p>
      <w:pPr>
        <w:sectPr>
          <w:pgSz w:w="11900" w:h="16838" w:orient="portrait"/>
          <w:cols w:equalWidth="0" w:num="2">
            <w:col w:w="7660" w:space="72"/>
            <w:col w:w="3348"/>
          </w:cols>
          <w:pgMar w:left="460" w:top="218" w:right="359" w:bottom="0" w:gutter="0" w:footer="0" w:header="0"/>
          <w:type w:val="continuous"/>
        </w:sectPr>
      </w:pPr>
    </w:p>
    <w:p>
      <w:pPr>
        <w:spacing w:after="0" w:line="194"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WILMINGTON</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01887</w:t>
            </w:r>
          </w:p>
        </w:tc>
      </w:tr>
      <w:tr>
        <w:trPr>
          <w:trHeight w:val="150"/>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5" w:lineRule="exact"/>
        <w:rPr>
          <w:sz w:val="20"/>
          <w:szCs w:val="20"/>
          <w:color w:val="auto"/>
        </w:rPr>
      </w:pPr>
    </w:p>
    <w:p>
      <w:pPr>
        <w:sectPr>
          <w:pgSz w:w="11900" w:h="16838" w:orient="portrait"/>
          <w:cols w:equalWidth="0" w:num="2">
            <w:col w:w="3760" w:space="140"/>
            <w:col w:w="7180"/>
          </w:cols>
          <w:pgMar w:left="460" w:top="218"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6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gridSpan w:val="2"/>
          </w:tcPr>
          <w:p>
            <w:pPr>
              <w:ind w:left="36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0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60" w:type="dxa"/>
            <w:vAlign w:val="bottom"/>
            <w:gridSpan w:val="3"/>
          </w:tcPr>
          <w:p>
            <w:pPr>
              <w:ind w:left="36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V-1 Common Stock</w:t>
            </w:r>
            <w:r>
              <w:rPr>
                <w:rFonts w:ascii="Times New Roman" w:cs="Times New Roman" w:eastAsia="Times New Roman" w:hAnsi="Times New Roman"/>
                <w:sz w:val="21"/>
                <w:szCs w:val="21"/>
                <w:color w:val="008000"/>
                <w:vertAlign w:val="superscript"/>
              </w:rPr>
              <w:t>(1)(2)</w:t>
            </w:r>
          </w:p>
        </w:tc>
        <w:tc>
          <w:tcPr>
            <w:tcW w:w="1460" w:type="dxa"/>
            <w:vAlign w:val="bottom"/>
            <w:tcBorders>
              <w:bottom w:val="single" w:sz="8" w:color="2C2C2C"/>
            </w:tcBorders>
            <w:gridSpan w:val="3"/>
          </w:tcPr>
          <w:p>
            <w:pPr>
              <w:jc w:val="right"/>
              <w:ind w:right="183"/>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(1)(2)(3)</w:t>
            </w: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tcBorders>
              <w:bottom w:val="single" w:sz="8" w:color="2C2C2C"/>
            </w:tcBorders>
          </w:tcPr>
          <w:p>
            <w:pPr>
              <w:jc w:val="center"/>
              <w:ind w:left="74"/>
              <w:spacing w:after="0"/>
              <w:rPr>
                <w:sz w:val="20"/>
                <w:szCs w:val="20"/>
                <w:color w:val="auto"/>
              </w:rPr>
            </w:pPr>
            <w:r>
              <w:rPr>
                <w:rFonts w:ascii="Times New Roman" w:cs="Times New Roman" w:eastAsia="Times New Roman" w:hAnsi="Times New Roman"/>
                <w:sz w:val="11"/>
                <w:szCs w:val="11"/>
                <w:color w:val="008000"/>
                <w:w w:val="98"/>
              </w:rPr>
              <w:t>(1)(2)(3)</w:t>
            </w:r>
          </w:p>
        </w:tc>
        <w:tc>
          <w:tcPr>
            <w:tcW w:w="1380" w:type="dxa"/>
            <w:vAlign w:val="bottom"/>
            <w:tcBorders>
              <w:bottom w:val="single" w:sz="8" w:color="2C2C2C"/>
            </w:tcBorders>
            <w:gridSpan w:val="4"/>
          </w:tcPr>
          <w:p>
            <w:pPr>
              <w:jc w:val="center"/>
              <w:ind w:left="78"/>
              <w:spacing w:after="0"/>
              <w:rPr>
                <w:sz w:val="20"/>
                <w:szCs w:val="20"/>
                <w:color w:val="auto"/>
              </w:rPr>
            </w:pPr>
            <w:r>
              <w:rPr>
                <w:rFonts w:ascii="Times New Roman" w:cs="Times New Roman" w:eastAsia="Times New Roman" w:hAnsi="Times New Roman"/>
                <w:sz w:val="17"/>
                <w:szCs w:val="17"/>
                <w:color w:val="0000FF"/>
              </w:rPr>
              <w:t>579,353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60" w:type="dxa"/>
            <w:vAlign w:val="bottom"/>
            <w:tcBorders>
              <w:bottom w:val="single" w:sz="8" w:color="2C2C2C"/>
            </w:tcBorders>
            <w:gridSpan w:val="3"/>
          </w:tcPr>
          <w:p>
            <w:pPr>
              <w:jc w:val="right"/>
              <w:ind w:right="183"/>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(1)(2)(3)</w:t>
            </w: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center"/>
              <w:ind w:left="74"/>
              <w:spacing w:after="0"/>
              <w:rPr>
                <w:sz w:val="20"/>
                <w:szCs w:val="20"/>
                <w:color w:val="auto"/>
              </w:rPr>
            </w:pPr>
            <w:r>
              <w:rPr>
                <w:rFonts w:ascii="Times New Roman" w:cs="Times New Roman" w:eastAsia="Times New Roman" w:hAnsi="Times New Roman"/>
                <w:sz w:val="11"/>
                <w:szCs w:val="11"/>
                <w:color w:val="008000"/>
                <w:w w:val="98"/>
              </w:rPr>
              <w:t>(1)(2)(3)</w:t>
            </w: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1"/>
              <w:spacing w:after="0"/>
              <w:rPr>
                <w:sz w:val="20"/>
                <w:szCs w:val="20"/>
                <w:color w:val="auto"/>
              </w:rPr>
            </w:pPr>
            <w:r>
              <w:rPr>
                <w:rFonts w:ascii="Times New Roman" w:cs="Times New Roman" w:eastAsia="Times New Roman" w:hAnsi="Times New Roman"/>
                <w:sz w:val="17"/>
                <w:szCs w:val="17"/>
                <w:color w:val="0000FF"/>
                <w:w w:val="98"/>
              </w:rPr>
              <w:t>91,852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60" w:type="dxa"/>
            <w:vAlign w:val="bottom"/>
            <w:tcBorders>
              <w:bottom w:val="single" w:sz="8" w:color="2C2C2C"/>
            </w:tcBorders>
            <w:gridSpan w:val="3"/>
          </w:tcPr>
          <w:p>
            <w:pPr>
              <w:jc w:val="right"/>
              <w:ind w:right="183"/>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(4)</w:t>
            </w: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37.4625</w:t>
            </w:r>
            <w:r>
              <w:rPr>
                <w:rFonts w:ascii="Times New Roman" w:cs="Times New Roman" w:eastAsia="Times New Roman" w:hAnsi="Times New Roman"/>
                <w:sz w:val="21"/>
                <w:szCs w:val="21"/>
                <w:color w:val="008000"/>
                <w:w w:val="93"/>
                <w:vertAlign w:val="superscript"/>
              </w:rPr>
              <w:t>(5)</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1"/>
              <w:spacing w:after="0"/>
              <w:rPr>
                <w:sz w:val="20"/>
                <w:szCs w:val="20"/>
                <w:color w:val="auto"/>
              </w:rPr>
            </w:pPr>
            <w:r>
              <w:rPr>
                <w:rFonts w:ascii="Times New Roman" w:cs="Times New Roman" w:eastAsia="Times New Roman" w:hAnsi="Times New Roman"/>
                <w:sz w:val="17"/>
                <w:szCs w:val="17"/>
                <w:color w:val="0000FF"/>
                <w:w w:val="98"/>
              </w:rPr>
              <w:t>91,252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60" w:type="dxa"/>
            <w:vAlign w:val="bottom"/>
            <w:tcBorders>
              <w:bottom w:val="single" w:sz="8" w:color="2C2C2C"/>
            </w:tcBorders>
            <w:gridSpan w:val="3"/>
          </w:tcPr>
          <w:p>
            <w:pPr>
              <w:jc w:val="right"/>
              <w:ind w:right="183"/>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(4)</w:t>
            </w: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38.527</w:t>
            </w:r>
            <w:r>
              <w:rPr>
                <w:rFonts w:ascii="Times New Roman" w:cs="Times New Roman" w:eastAsia="Times New Roman" w:hAnsi="Times New Roman"/>
                <w:sz w:val="21"/>
                <w:szCs w:val="21"/>
                <w:color w:val="008000"/>
                <w:w w:val="93"/>
                <w:vertAlign w:val="superscript"/>
              </w:rPr>
              <w:t>(6)</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1"/>
              <w:spacing w:after="0"/>
              <w:rPr>
                <w:sz w:val="20"/>
                <w:szCs w:val="20"/>
                <w:color w:val="auto"/>
              </w:rPr>
            </w:pPr>
            <w:r>
              <w:rPr>
                <w:rFonts w:ascii="Times New Roman" w:cs="Times New Roman" w:eastAsia="Times New Roman" w:hAnsi="Times New Roman"/>
                <w:sz w:val="17"/>
                <w:szCs w:val="17"/>
                <w:color w:val="0000FF"/>
                <w:w w:val="98"/>
              </w:rPr>
              <w:t>90,252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60" w:type="dxa"/>
            <w:vAlign w:val="bottom"/>
            <w:tcBorders>
              <w:bottom w:val="single" w:sz="8" w:color="2C2C2C"/>
            </w:tcBorders>
            <w:gridSpan w:val="3"/>
          </w:tcPr>
          <w:p>
            <w:pPr>
              <w:jc w:val="right"/>
              <w:ind w:right="183"/>
              <w:spacing w:after="0"/>
              <w:rPr>
                <w:sz w:val="20"/>
                <w:szCs w:val="20"/>
                <w:color w:val="auto"/>
              </w:rPr>
            </w:pPr>
            <w:r>
              <w:rPr>
                <w:rFonts w:ascii="Times New Roman" w:cs="Times New Roman" w:eastAsia="Times New Roman" w:hAnsi="Times New Roman"/>
                <w:sz w:val="17"/>
                <w:szCs w:val="17"/>
                <w:color w:val="0000FF"/>
              </w:rPr>
              <w:t>11/02/2026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(4)</w:t>
            </w:r>
          </w:p>
        </w:tc>
        <w:tc>
          <w:tcPr>
            <w:tcW w:w="3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18"/>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39.675</w:t>
            </w:r>
            <w:r>
              <w:rPr>
                <w:rFonts w:ascii="Times New Roman" w:cs="Times New Roman" w:eastAsia="Times New Roman" w:hAnsi="Times New Roman"/>
                <w:sz w:val="21"/>
                <w:szCs w:val="21"/>
                <w:color w:val="008000"/>
                <w:w w:val="93"/>
                <w:vertAlign w:val="superscript"/>
              </w:rPr>
              <w:t>(7)</w:t>
            </w:r>
          </w:p>
        </w:tc>
        <w:tc>
          <w:tcPr>
            <w:tcW w:w="3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01"/>
              <w:spacing w:after="0"/>
              <w:rPr>
                <w:sz w:val="20"/>
                <w:szCs w:val="20"/>
                <w:color w:val="auto"/>
              </w:rPr>
            </w:pPr>
            <w:r>
              <w:rPr>
                <w:rFonts w:ascii="Times New Roman" w:cs="Times New Roman" w:eastAsia="Times New Roman" w:hAnsi="Times New Roman"/>
                <w:sz w:val="17"/>
                <w:szCs w:val="17"/>
                <w:color w:val="0000FF"/>
                <w:w w:val="98"/>
              </w:rPr>
              <w:t>89,852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080" w:type="dxa"/>
            <w:vAlign w:val="bottom"/>
            <w:tcBorders>
              <w:top w:val="single" w:sz="8" w:color="2C2C2C"/>
            </w:tcBorders>
            <w:gridSpan w:val="15"/>
          </w:tcPr>
          <w:p>
            <w:pPr>
              <w:ind w:left="9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00" w:type="dxa"/>
            <w:vAlign w:val="bottom"/>
            <w:gridSpan w:val="11"/>
          </w:tcPr>
          <w:p>
            <w:pPr>
              <w:jc w:val="right"/>
              <w:ind w:right="3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Security</w:t>
            </w:r>
          </w:p>
        </w:tc>
        <w:tc>
          <w:tcPr>
            <w:tcW w:w="18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jc w:val="right"/>
              <w:ind w:right="143"/>
              <w:spacing w:after="0" w:line="129" w:lineRule="exact"/>
              <w:rPr>
                <w:sz w:val="20"/>
                <w:szCs w:val="20"/>
                <w:color w:val="auto"/>
              </w:rPr>
            </w:pPr>
            <w:r>
              <w:rPr>
                <w:rFonts w:ascii="Arial" w:cs="Arial" w:eastAsia="Arial" w:hAnsi="Arial"/>
                <w:sz w:val="12"/>
                <w:szCs w:val="12"/>
                <w:b w:val="1"/>
                <w:bCs w:val="1"/>
                <w:color w:val="auto"/>
                <w:w w:val="74"/>
              </w:rPr>
              <w:t>8)</w:t>
            </w: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(Instr. 5)</w:t>
            </w:r>
          </w:p>
        </w:tc>
        <w:tc>
          <w:tcPr>
            <w:tcW w:w="18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(D)</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ind w:left="26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Symbotic</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(1)(2)(3)</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4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2,000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8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11/02/2026</w:t>
            </w: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w w:val="95"/>
              </w:rPr>
              <w:t>2,000</w:t>
            </w: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1"/>
                <w:szCs w:val="11"/>
                <w:color w:val="008000"/>
              </w:rPr>
              <w:t>(1)(2)</w:t>
            </w:r>
          </w:p>
        </w:tc>
        <w:tc>
          <w:tcPr>
            <w:tcW w:w="74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vMerge w:val="continue"/>
          </w:tcPr>
          <w:p>
            <w:pPr>
              <w:spacing w:after="0"/>
              <w:rPr>
                <w:sz w:val="13"/>
                <w:szCs w:val="13"/>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(1)(2)</w:t>
            </w:r>
          </w:p>
        </w:tc>
        <w:tc>
          <w:tcPr>
            <w:tcW w:w="180" w:type="dxa"/>
            <w:vAlign w:val="bottom"/>
          </w:tcPr>
          <w:p>
            <w:pPr>
              <w:spacing w:after="0"/>
              <w:rPr>
                <w:sz w:val="13"/>
                <w:szCs w:val="13"/>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3"/>
                <w:szCs w:val="13"/>
                <w:color w:val="0000FF"/>
                <w:w w:val="94"/>
              </w:rPr>
              <w:t>579,353</w:t>
            </w:r>
          </w:p>
        </w:tc>
        <w:tc>
          <w:tcPr>
            <w:tcW w:w="260" w:type="dxa"/>
            <w:vAlign w:val="bottom"/>
          </w:tcPr>
          <w:p>
            <w:pPr>
              <w:spacing w:after="0"/>
              <w:rPr>
                <w:sz w:val="13"/>
                <w:szCs w:val="13"/>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ind w:left="60"/>
              <w:spacing w:after="0" w:line="224" w:lineRule="exact"/>
              <w:rPr>
                <w:sz w:val="20"/>
                <w:szCs w:val="20"/>
                <w:color w:val="auto"/>
              </w:rPr>
            </w:pPr>
            <w:r>
              <w:rPr>
                <w:rFonts w:ascii="Times New Roman" w:cs="Times New Roman" w:eastAsia="Times New Roman" w:hAnsi="Times New Roman"/>
                <w:sz w:val="25"/>
                <w:szCs w:val="25"/>
                <w:color w:val="0000FF"/>
                <w:w w:val="93"/>
                <w:vertAlign w:val="subscript"/>
              </w:rPr>
              <w:t>Units</w:t>
            </w:r>
            <w:r>
              <w:rPr>
                <w:rFonts w:ascii="Times New Roman" w:cs="Times New Roman" w:eastAsia="Times New Roman" w:hAnsi="Times New Roman"/>
                <w:sz w:val="11"/>
                <w:szCs w:val="11"/>
                <w:color w:val="008000"/>
                <w:w w:val="93"/>
              </w:rPr>
              <w:t>(1)(2)(3)</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-2113280</wp:posOffset>
            </wp:positionV>
            <wp:extent cx="29210" cy="2118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36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V-1 Common Stock of the Issuer have no economic rights and each share of Class V-1 Common Stock entitles its holder to 1 vote per share.</w:t>
      </w:r>
    </w:p>
    <w:p>
      <w:pPr>
        <w:spacing w:after="0" w:line="44" w:lineRule="exact"/>
        <w:rPr>
          <w:rFonts w:ascii="Times New Roman" w:cs="Times New Roman" w:eastAsia="Times New Roman" w:hAnsi="Times New Roman"/>
          <w:sz w:val="13"/>
          <w:szCs w:val="13"/>
          <w:color w:val="008000"/>
        </w:rPr>
      </w:pPr>
    </w:p>
    <w:p>
      <w:pPr>
        <w:ind w:left="40" w:right="16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term "Symbotic Holdings Units" is used herein to represent limited liability company units of Symbotic Holdings LLC ("Symbotic Holdings") and an equal number of paired shares of Class V-1 Common Stock of the Issuer, which, pursuant to the limited liability company agreement of Symbotic Holdings, are redeemable by the holder on a one-for-one basis for a share of Class A Common Stock of the Issuer, subject to conversion rate adjustments for stock splits, stock dividends, reclassification and other similar transactions, and in accordance with other terms and conditions set forth in Symbotic Holdings' Second Amended and Restated Limited Liability Company Agreement, dated as of June 7, 2022. Upon redemption, the Issuer will cancel the Symbotic Holdings Units and cancel and retire for no consideration the redeemed shares of Class V-1 Common Stock.</w:t>
      </w:r>
    </w:p>
    <w:p>
      <w:pPr>
        <w:spacing w:after="0" w:line="2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2, 2026, the Reporting Person sold 2,000 shares of Class A Common Stock pursuant to a trading plan entered into by the Reporting Person on December 8, 2025, in accordance with Rule 10b5-</w:t>
      </w:r>
    </w:p>
    <w:p>
      <w:pPr>
        <w:spacing w:after="0" w:line="6" w:lineRule="exact"/>
        <w:rPr>
          <w:rFonts w:ascii="Times New Roman" w:cs="Times New Roman" w:eastAsia="Times New Roman" w:hAnsi="Times New Roman"/>
          <w:sz w:val="13"/>
          <w:szCs w:val="13"/>
          <w:color w:val="008000"/>
        </w:rPr>
      </w:pPr>
    </w:p>
    <w:p>
      <w:pPr>
        <w:ind w:left="40" w:right="480"/>
        <w:spacing w:after="0" w:line="234"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 of the Securities Exchange Act of 1934, as amended (the "Stock Sale"). In connection with the Stock Sale and pursuant to the terms of the trading plan, effective November 2, 2026, the Reporting Person redeemed 2,000 Symbotic Holdings Units in exchange for an equal number of shares of Class A Common Stock (the "Redemption"). In connection with the Redemption, Symbotic Holdings canceled the Symbotic Holdings Units, and the Issuer canceled and retired for no consideration the redeemed 2,000 shares of Class V-1 Common Stock.</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pursuant to a trading plan entered into by the Reporting Person on Decmeber 8, 2025, in accordance with Rule 10b5-1 of the Securities Exchange Act of 1934, as amended.</w:t>
      </w:r>
    </w:p>
    <w:p>
      <w:pPr>
        <w:spacing w:after="0" w:line="44"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$37.16 to $37.79,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$38.21 to $38.97,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$39.30 to $39.97,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Corey Dufresne,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11/04/2026</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in-Fact for Charles Kane</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8"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7"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3561" TargetMode="External"/><Relationship Id="rId14" Type="http://schemas.openxmlformats.org/officeDocument/2006/relationships/hyperlink" Target="http://www.sec.gov/cgi-bin/browse-edgar?action=getcompany&amp;CIK=0001837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2026-11-04T16:09:18Z</dcterms:created>
  <dcterms:modified xsi:type="dcterms:W3CDTF">2026-11-04T16:09:18Z</dcterms:modified>
</cp:coreProperties>
</file>