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Symbotic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0000FF"/>
        </w:rPr>
        <w:t>Stephen Lam</w:t>
      </w:r>
    </w:p>
    <w:p>
      <w:pPr>
        <w:spacing w:after="0" w:line="8"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0000FF"/>
        </w:rPr>
        <w:t>69 Grosvenor St.,</w:t>
      </w:r>
    </w:p>
    <w:p>
      <w:pPr>
        <w:ind w:left="3360"/>
        <w:spacing w:after="0" w:line="230" w:lineRule="auto"/>
        <w:rPr>
          <w:sz w:val="20"/>
          <w:szCs w:val="20"/>
          <w:color w:val="auto"/>
        </w:rPr>
      </w:pPr>
      <w:r>
        <w:rPr>
          <w:rFonts w:ascii="Times New Roman" w:cs="Times New Roman" w:eastAsia="Times New Roman" w:hAnsi="Times New Roman"/>
          <w:sz w:val="22"/>
          <w:szCs w:val="22"/>
          <w:b w:val="1"/>
          <w:bCs w:val="1"/>
          <w:color w:val="0000FF"/>
        </w:rPr>
        <w:t>Mayfair, London, X0, W1K 3JP</w:t>
      </w:r>
    </w:p>
    <w:p>
      <w:pPr>
        <w:spacing w:after="0" w:line="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44 0207 629 0431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SoftBank Group Corp.</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JAPAN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39,825,312.00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39,825,312.00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39,825,312.00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 Investment Advisers (US)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Sponsor III (DE)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 Global Advisers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UNITED KINGDOM</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SoftBank Vision Fund II-2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II Aggregator (Jersey)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JERSEY</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II Holdings (DE)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309"/>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20,000,000.00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20,000,000.00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20,000,000.00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15.7 %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OO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II SPAC Investment 3 (DE)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15.7 %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Silver Brick Management PTE.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SINGAPORE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SB Northstar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2,000,000.00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2,000,000.00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SVF II Strategic Investments AIV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17,825,312.00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17,825,312.00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17,825,312.00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936" w:orient="portrait"/>
          <w:cols w:equalWidth="0" w:num="2">
            <w:col w:w="1060" w:space="60"/>
            <w:col w:w="10040"/>
          </w:cols>
          <w:pgMar w:left="360" w:top="355"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Symbotic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200 Research Drive, Wilmington, MASSACHUSETTS , 01887.</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EXPLANATORY NOTE This Amendment No. 4 ("Amendment No. 4") amends and supplements the Schedule 13D</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originally filed with the United States Securities and Exchange Commission (the "SEC") on June 17, 2022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amended to date, the "Schedule 13D"), relating to the shares of Class A Common Stock, par value $0.0001 per share (the "Class A Common Stock"), of Symbotic Inc., a Delaware corporation (the "Issuer"). Capitalized terms used</w:t>
      </w:r>
    </w:p>
    <w:p>
      <w:pPr>
        <w:spacing w:after="0" w:line="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herein without definition shall have the meanings set forth in the Schedule 13D.</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right="100" w:hanging="912"/>
        <w:spacing w:after="0" w:line="246"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information contained on the cover pages is incorporated by reference to this Item 5(a). The information presented herein sets forth, as of the date of this Schedule 13D, the aggregate number of shares of Class A Common Stock and percentage of Class A Common Stock beneficially owned by each of the Reporting Persons, based on 127,215,411 shares of Class A Common Stock outstanding as of May 4, 2026, as disclosed in the Issuer's Quarterly Reporting on Form 10-Q filed on May 6, 2026. SVF II SPAC Investment 3 (DE) LLC is the record holder of 20,000,000 shares of Class A Common Stock. SVF II Strategic Investments AIV LLC is the record holder of 17,825,312 shares of Class A Common Stock. SB Northstar LP is the record holder of 2,000,000 shares of Class A Common Stock. SoftBank, which is a publicly traded company listed on the Tokyo Stock Exchange, is the sole shareholder of SBGA, which has been appointed as manager and is responsible for making final decisions related to the acquisition, structuring, financing and disposal of SoftBank Vision Fund II-2 L.P.'s investments, including as held</w:t>
      </w:r>
    </w:p>
    <w:p>
      <w:pPr>
        <w:sectPr>
          <w:pgSz w:w="11900" w:h="16936" w:orient="portrait"/>
          <w:cols w:equalWidth="0" w:num="1">
            <w:col w:w="11160"/>
          </w:cols>
          <w:pgMar w:left="360" w:top="355" w:right="379" w:bottom="0" w:gutter="0" w:footer="0" w:header="0"/>
          <w:type w:val="continuous"/>
        </w:sectPr>
      </w:pPr>
    </w:p>
    <w:bookmarkStart w:id="10" w:name="page11"/>
    <w:bookmarkEnd w:id="10"/>
    <w:p>
      <w:pPr>
        <w:ind w:left="912" w:right="120"/>
        <w:spacing w:after="0" w:line="253" w:lineRule="auto"/>
        <w:rPr>
          <w:sz w:val="20"/>
          <w:szCs w:val="20"/>
          <w:color w:val="auto"/>
        </w:rPr>
      </w:pPr>
      <w:r>
        <w:rPr>
          <w:rFonts w:ascii="Times New Roman" w:cs="Times New Roman" w:eastAsia="Times New Roman" w:hAnsi="Times New Roman"/>
          <w:sz w:val="21"/>
          <w:szCs w:val="21"/>
          <w:color w:val="auto"/>
        </w:rPr>
        <w:t>by SVF II SPAC Investment 3 (DE) LLC. SoftBank Vision Fund II-2 L.P. is the sole limited partner of SVF II Aggregator (Jersey) L.P., which is the sole member of SVF II Holdings (DE) LLC, which is the sole member of SVF</w:t>
      </w:r>
    </w:p>
    <w:p>
      <w:pPr>
        <w:spacing w:after="0" w:line="1" w:lineRule="exact"/>
        <w:rPr>
          <w:sz w:val="20"/>
          <w:szCs w:val="20"/>
          <w:color w:val="auto"/>
        </w:rPr>
      </w:pPr>
    </w:p>
    <w:p>
      <w:pPr>
        <w:ind w:left="912" w:right="100"/>
        <w:spacing w:after="0" w:line="232" w:lineRule="auto"/>
        <w:rPr>
          <w:sz w:val="20"/>
          <w:szCs w:val="20"/>
          <w:color w:val="auto"/>
        </w:rPr>
      </w:pPr>
      <w:r>
        <w:rPr>
          <w:rFonts w:ascii="Times New Roman" w:cs="Times New Roman" w:eastAsia="Times New Roman" w:hAnsi="Times New Roman"/>
          <w:sz w:val="22"/>
          <w:szCs w:val="22"/>
          <w:color w:val="auto"/>
        </w:rPr>
        <w:t>II SPAC Investment 3 (DE) LLC. SoftBank is the parent company of SVF II Strategic Investments AIV LLC and the parent company of Silver Brick Management PTE. LTD., which has been appointed as investment manager of SB Northstar LP and is responsible for making voting and investment decisions with respect to SB Northstar LP's investments. As a result of these relationships, (i) SoftBank may be deemed to share beneficial ownership of the securities reported herein, (ii) each of SoftBank Vision Fund II-2 L.P., SVF II Aggregator (Jersey) L.P. and SVF II Holdings (DE) LLC may be deemed to share beneficial ownership of securities held by SVF II SPAC Investment 3 (DE) LLC, and (iii) Silver Brick Management PTE. LTD. may be deemed to share beneficial ownership of securities held by SB Northstar LP.</w:t>
      </w:r>
    </w:p>
    <w:p>
      <w:pPr>
        <w:spacing w:after="0" w:line="17" w:lineRule="exact"/>
        <w:rPr>
          <w:sz w:val="20"/>
          <w:szCs w:val="20"/>
          <w:color w:val="auto"/>
        </w:rPr>
      </w:pPr>
    </w:p>
    <w:p>
      <w:pPr>
        <w:ind w:left="912" w:hanging="912"/>
        <w:spacing w:after="0"/>
        <w:tabs>
          <w:tab w:leader="none" w:pos="91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contained on the cover pages is incorporated by reference to this Item 5(b).</w:t>
      </w:r>
    </w:p>
    <w:p>
      <w:pPr>
        <w:spacing w:after="0" w:line="44" w:lineRule="exact"/>
        <w:rPr>
          <w:rFonts w:ascii="Times New Roman" w:cs="Times New Roman" w:eastAsia="Times New Roman" w:hAnsi="Times New Roman"/>
          <w:sz w:val="22"/>
          <w:szCs w:val="22"/>
          <w:color w:val="auto"/>
        </w:rPr>
      </w:pPr>
    </w:p>
    <w:p>
      <w:pPr>
        <w:ind w:left="912"/>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On May 27, 2026, SVF Sponsor III (DE) LLC sold an aggregate of 5,590,000 shares of Class A Common Stock at a</w:t>
      </w:r>
    </w:p>
    <w:p>
      <w:pPr>
        <w:spacing w:after="0" w:line="25" w:lineRule="exact"/>
        <w:rPr>
          <w:rFonts w:ascii="Times New Roman" w:cs="Times New Roman" w:eastAsia="Times New Roman" w:hAnsi="Times New Roman"/>
          <w:sz w:val="22"/>
          <w:szCs w:val="22"/>
          <w:color w:val="auto"/>
        </w:rPr>
      </w:pPr>
    </w:p>
    <w:p>
      <w:pPr>
        <w:ind w:left="912" w:right="560" w:hanging="912"/>
        <w:spacing w:after="0" w:line="237" w:lineRule="auto"/>
        <w:tabs>
          <w:tab w:leader="none" w:pos="91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price of $50.415 per share. Except as otherwise disclosed herein, during the past 60 days, none of the Reporting Persons or Related Persons has effected any transactions in the Class A Common Stock.</w:t>
      </w:r>
    </w:p>
    <w:p>
      <w:pPr>
        <w:spacing w:after="0" w:line="16" w:lineRule="exact"/>
        <w:rPr>
          <w:rFonts w:ascii="Times New Roman" w:cs="Times New Roman" w:eastAsia="Times New Roman" w:hAnsi="Times New Roman"/>
          <w:sz w:val="22"/>
          <w:szCs w:val="22"/>
          <w:color w:val="auto"/>
        </w:rPr>
      </w:pPr>
    </w:p>
    <w:p>
      <w:pPr>
        <w:ind w:left="912" w:hanging="912"/>
        <w:spacing w:after="0"/>
        <w:tabs>
          <w:tab w:leader="none" w:pos="91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12" w:right="240" w:hanging="912"/>
        <w:spacing w:after="0" w:line="185" w:lineRule="auto"/>
        <w:tabs>
          <w:tab w:leader="none" w:pos="912" w:val="left"/>
        </w:tabs>
        <w:numPr>
          <w:ilvl w:val="0"/>
          <w:numId w:val="9"/>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May 27, 2026, SBIA US and SVF Sponsor III (DE) LLC are no longer the beneficial owners of any shares of Class A Common Stock.</w:t>
      </w:r>
    </w:p>
    <w:p>
      <w:pPr>
        <w:spacing w:after="0" w:line="287" w:lineRule="exact"/>
        <w:rPr>
          <w:sz w:val="20"/>
          <w:szCs w:val="20"/>
          <w:color w:val="auto"/>
        </w:rPr>
      </w:pPr>
    </w:p>
    <w:p>
      <w:pPr>
        <w:ind w:left="212"/>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72"/>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52"/>
        <w:spacing w:after="0"/>
        <w:rPr>
          <w:sz w:val="20"/>
          <w:szCs w:val="20"/>
          <w:color w:val="auto"/>
        </w:rPr>
      </w:pPr>
      <w:r>
        <w:rPr>
          <w:rFonts w:ascii="Times New Roman" w:cs="Times New Roman" w:eastAsia="Times New Roman" w:hAnsi="Times New Roman"/>
          <w:sz w:val="22"/>
          <w:szCs w:val="22"/>
          <w:color w:val="auto"/>
        </w:rPr>
        <w:t>SoftBank Group Corp.</w:t>
      </w:r>
    </w:p>
    <w:p>
      <w:pPr>
        <w:spacing w:after="0" w:line="152"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Yuko Yamamoto</w:t>
      </w:r>
    </w:p>
    <w:p>
      <w:pPr>
        <w:ind w:left="5652"/>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Yuko Yamamoto, Head of Corporate Legal</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Department</w:t>
      </w:r>
    </w:p>
    <w:p>
      <w:pPr>
        <w:spacing w:after="0" w:line="20"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3152"/>
        <w:spacing w:after="0"/>
        <w:rPr>
          <w:sz w:val="20"/>
          <w:szCs w:val="20"/>
          <w:color w:val="auto"/>
        </w:rPr>
      </w:pPr>
      <w:r>
        <w:rPr>
          <w:rFonts w:ascii="Times New Roman" w:cs="Times New Roman" w:eastAsia="Times New Roman" w:hAnsi="Times New Roman"/>
          <w:sz w:val="22"/>
          <w:szCs w:val="22"/>
          <w:color w:val="auto"/>
        </w:rPr>
        <w:t>SB Investment Advisers (US) Inc.</w:t>
      </w:r>
    </w:p>
    <w:p>
      <w:pPr>
        <w:spacing w:after="0" w:line="152" w:lineRule="exact"/>
        <w:rPr>
          <w:sz w:val="20"/>
          <w:szCs w:val="20"/>
          <w:color w:val="auto"/>
        </w:rPr>
      </w:pPr>
    </w:p>
    <w:p>
      <w:pPr>
        <w:ind w:left="4892"/>
        <w:spacing w:after="0"/>
        <w:tabs>
          <w:tab w:leader="none" w:pos="59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Amanda Sanchez-Barry</w:t>
      </w:r>
    </w:p>
    <w:p>
      <w:pPr>
        <w:spacing w:after="0" w:line="44" w:lineRule="exact"/>
        <w:rPr>
          <w:sz w:val="20"/>
          <w:szCs w:val="20"/>
          <w:color w:val="auto"/>
        </w:rPr>
      </w:pPr>
    </w:p>
    <w:p>
      <w:pPr>
        <w:ind w:left="4892"/>
        <w:spacing w:after="0"/>
        <w:rPr>
          <w:sz w:val="20"/>
          <w:szCs w:val="20"/>
          <w:color w:val="auto"/>
        </w:rPr>
      </w:pPr>
      <w:r>
        <w:rPr>
          <w:rFonts w:ascii="Times New Roman" w:cs="Times New Roman" w:eastAsia="Times New Roman" w:hAnsi="Times New Roman"/>
          <w:sz w:val="22"/>
          <w:szCs w:val="22"/>
          <w:color w:val="auto"/>
        </w:rPr>
        <w:t>Name/Title: Amanda Sanchez-Barry, General Counsel</w:t>
      </w:r>
    </w:p>
    <w:p>
      <w:pPr>
        <w:spacing w:after="0" w:line="44" w:lineRule="exact"/>
        <w:rPr>
          <w:sz w:val="20"/>
          <w:szCs w:val="20"/>
          <w:color w:val="auto"/>
        </w:rPr>
      </w:pPr>
    </w:p>
    <w:p>
      <w:pPr>
        <w:ind w:left="4892"/>
        <w:spacing w:after="0"/>
        <w:tabs>
          <w:tab w:leader="none" w:pos="59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552"/>
        <w:spacing w:after="0"/>
        <w:rPr>
          <w:sz w:val="20"/>
          <w:szCs w:val="20"/>
          <w:color w:val="auto"/>
        </w:rPr>
      </w:pPr>
      <w:r>
        <w:rPr>
          <w:rFonts w:ascii="Times New Roman" w:cs="Times New Roman" w:eastAsia="Times New Roman" w:hAnsi="Times New Roman"/>
          <w:sz w:val="22"/>
          <w:szCs w:val="22"/>
          <w:color w:val="auto"/>
        </w:rPr>
        <w:t>SVF Sponsor III (DE) LLC</w:t>
      </w:r>
    </w:p>
    <w:p>
      <w:pPr>
        <w:spacing w:after="0" w:line="152" w:lineRule="exact"/>
        <w:rPr>
          <w:sz w:val="20"/>
          <w:szCs w:val="20"/>
          <w:color w:val="auto"/>
        </w:rPr>
      </w:pPr>
    </w:p>
    <w:p>
      <w:pPr>
        <w:ind w:left="3632"/>
        <w:spacing w:after="0"/>
        <w:tabs>
          <w:tab w:leader="none" w:pos="4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Duckles</w:t>
      </w:r>
    </w:p>
    <w:p>
      <w:pPr>
        <w:spacing w:after="0" w:line="44" w:lineRule="exact"/>
        <w:rPr>
          <w:sz w:val="20"/>
          <w:szCs w:val="20"/>
          <w:color w:val="auto"/>
        </w:rPr>
      </w:pPr>
    </w:p>
    <w:p>
      <w:pPr>
        <w:ind w:left="3632"/>
        <w:spacing w:after="0"/>
        <w:rPr>
          <w:sz w:val="20"/>
          <w:szCs w:val="20"/>
          <w:color w:val="auto"/>
        </w:rPr>
      </w:pPr>
      <w:r>
        <w:rPr>
          <w:rFonts w:ascii="Times New Roman" w:cs="Times New Roman" w:eastAsia="Times New Roman" w:hAnsi="Times New Roman"/>
          <w:sz w:val="22"/>
          <w:szCs w:val="22"/>
          <w:color w:val="auto"/>
        </w:rPr>
        <w:t>Name/Title: Jonathan Duckles, Director</w:t>
      </w:r>
    </w:p>
    <w:p>
      <w:pPr>
        <w:spacing w:after="0" w:line="44" w:lineRule="exact"/>
        <w:rPr>
          <w:sz w:val="20"/>
          <w:szCs w:val="20"/>
          <w:color w:val="auto"/>
        </w:rPr>
      </w:pPr>
    </w:p>
    <w:p>
      <w:pPr>
        <w:ind w:left="3632"/>
        <w:spacing w:after="0"/>
        <w:tabs>
          <w:tab w:leader="none" w:pos="4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652"/>
        <w:spacing w:after="0"/>
        <w:rPr>
          <w:sz w:val="20"/>
          <w:szCs w:val="20"/>
          <w:color w:val="auto"/>
        </w:rPr>
      </w:pPr>
      <w:r>
        <w:rPr>
          <w:rFonts w:ascii="Times New Roman" w:cs="Times New Roman" w:eastAsia="Times New Roman" w:hAnsi="Times New Roman"/>
          <w:sz w:val="22"/>
          <w:szCs w:val="22"/>
          <w:color w:val="auto"/>
        </w:rPr>
        <w:t>SB Global Advisers Limited</w:t>
      </w:r>
    </w:p>
    <w:p>
      <w:pPr>
        <w:spacing w:after="0" w:line="152" w:lineRule="exact"/>
        <w:rPr>
          <w:sz w:val="20"/>
          <w:szCs w:val="20"/>
          <w:color w:val="auto"/>
        </w:rPr>
      </w:pPr>
    </w:p>
    <w:p>
      <w:pPr>
        <w:ind w:left="3972"/>
        <w:spacing w:after="0"/>
        <w:tabs>
          <w:tab w:leader="none" w:pos="50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Lam</w:t>
      </w:r>
    </w:p>
    <w:p>
      <w:pPr>
        <w:spacing w:after="0" w:line="44" w:lineRule="exact"/>
        <w:rPr>
          <w:sz w:val="20"/>
          <w:szCs w:val="20"/>
          <w:color w:val="auto"/>
        </w:rPr>
      </w:pPr>
    </w:p>
    <w:p>
      <w:pPr>
        <w:ind w:left="3972"/>
        <w:spacing w:after="0"/>
        <w:rPr>
          <w:sz w:val="20"/>
          <w:szCs w:val="20"/>
          <w:color w:val="auto"/>
        </w:rPr>
      </w:pPr>
      <w:r>
        <w:rPr>
          <w:rFonts w:ascii="Times New Roman" w:cs="Times New Roman" w:eastAsia="Times New Roman" w:hAnsi="Times New Roman"/>
          <w:sz w:val="22"/>
          <w:szCs w:val="22"/>
          <w:color w:val="auto"/>
        </w:rPr>
        <w:t>Name/Title: Stephen Lam, General Counsel</w:t>
      </w:r>
    </w:p>
    <w:p>
      <w:pPr>
        <w:spacing w:after="0" w:line="44" w:lineRule="exact"/>
        <w:rPr>
          <w:sz w:val="20"/>
          <w:szCs w:val="20"/>
          <w:color w:val="auto"/>
        </w:rPr>
      </w:pPr>
    </w:p>
    <w:p>
      <w:pPr>
        <w:ind w:left="3972"/>
        <w:spacing w:after="0"/>
        <w:tabs>
          <w:tab w:leader="none" w:pos="50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872"/>
        <w:spacing w:after="0"/>
        <w:rPr>
          <w:sz w:val="20"/>
          <w:szCs w:val="20"/>
          <w:color w:val="auto"/>
        </w:rPr>
      </w:pPr>
      <w:r>
        <w:rPr>
          <w:rFonts w:ascii="Times New Roman" w:cs="Times New Roman" w:eastAsia="Times New Roman" w:hAnsi="Times New Roman"/>
          <w:sz w:val="22"/>
          <w:szCs w:val="22"/>
          <w:color w:val="auto"/>
        </w:rPr>
        <w:t>SoftBank Vision Fund II-2 L.P.</w:t>
      </w:r>
    </w:p>
    <w:p>
      <w:pPr>
        <w:ind w:left="5652"/>
        <w:spacing w:after="0"/>
        <w:tabs>
          <w:tab w:leader="none" w:pos="6711" w:val="left"/>
        </w:tabs>
        <w:rPr>
          <w:sz w:val="20"/>
          <w:szCs w:val="20"/>
          <w:color w:val="auto"/>
        </w:rPr>
      </w:pPr>
      <w:r>
        <w:rPr>
          <w:rFonts w:ascii="Times New Roman" w:cs="Times New Roman" w:eastAsia="Times New Roman" w:hAnsi="Times New Roman"/>
          <w:sz w:val="43"/>
          <w:szCs w:val="43"/>
          <w:color w:val="auto"/>
          <w:vertAlign w:val="subscript"/>
        </w:rPr>
        <w:t>Signature:</w:t>
      </w:r>
      <w:r>
        <w:rPr>
          <w:sz w:val="20"/>
          <w:szCs w:val="20"/>
          <w:color w:val="auto"/>
        </w:rPr>
        <w:tab/>
      </w:r>
      <w:r>
        <w:rPr>
          <w:rFonts w:ascii="Times New Roman" w:cs="Times New Roman" w:eastAsia="Times New Roman" w:hAnsi="Times New Roman"/>
          <w:sz w:val="21"/>
          <w:szCs w:val="21"/>
          <w:color w:val="auto"/>
        </w:rPr>
        <w:t>By: SB Global Advisers Limited, its Manager, /s/</w:t>
      </w:r>
    </w:p>
    <w:p>
      <w:pPr>
        <w:spacing w:after="0" w:line="1" w:lineRule="exact"/>
        <w:rPr>
          <w:sz w:val="20"/>
          <w:szCs w:val="20"/>
          <w:color w:val="auto"/>
        </w:rPr>
      </w:pPr>
    </w:p>
    <w:p>
      <w:pPr>
        <w:ind w:left="6732"/>
        <w:spacing w:after="0"/>
        <w:rPr>
          <w:sz w:val="20"/>
          <w:szCs w:val="20"/>
          <w:color w:val="auto"/>
        </w:rPr>
      </w:pPr>
      <w:r>
        <w:rPr>
          <w:rFonts w:ascii="Times New Roman" w:cs="Times New Roman" w:eastAsia="Times New Roman" w:hAnsi="Times New Roman"/>
          <w:sz w:val="22"/>
          <w:szCs w:val="22"/>
          <w:color w:val="auto"/>
        </w:rPr>
        <w:t>Stephen Lam</w:t>
      </w:r>
    </w:p>
    <w:p>
      <w:pPr>
        <w:spacing w:after="0" w:line="20" w:lineRule="exact"/>
        <w:rPr>
          <w:sz w:val="20"/>
          <w:szCs w:val="20"/>
          <w:color w:val="auto"/>
        </w:rPr>
      </w:pPr>
    </w:p>
    <w:p>
      <w:pPr>
        <w:ind w:left="5652"/>
        <w:spacing w:after="0"/>
        <w:rPr>
          <w:sz w:val="20"/>
          <w:szCs w:val="20"/>
          <w:color w:val="auto"/>
        </w:rPr>
      </w:pPr>
      <w:r>
        <w:rPr>
          <w:rFonts w:ascii="Times New Roman" w:cs="Times New Roman" w:eastAsia="Times New Roman" w:hAnsi="Times New Roman"/>
          <w:sz w:val="22"/>
          <w:szCs w:val="22"/>
          <w:color w:val="auto"/>
        </w:rPr>
        <w:t>Name/Title: Stephen Lam, General Counsel</w:t>
      </w:r>
    </w:p>
    <w:p>
      <w:pPr>
        <w:spacing w:after="0" w:line="44" w:lineRule="exact"/>
        <w:rPr>
          <w:sz w:val="20"/>
          <w:szCs w:val="20"/>
          <w:color w:val="auto"/>
        </w:rPr>
      </w:pPr>
    </w:p>
    <w:p>
      <w:pPr>
        <w:ind w:left="5652"/>
        <w:spacing w:after="0"/>
        <w:tabs>
          <w:tab w:leader="none" w:pos="6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952"/>
        <w:spacing w:after="0"/>
        <w:rPr>
          <w:sz w:val="20"/>
          <w:szCs w:val="20"/>
          <w:color w:val="auto"/>
        </w:rPr>
      </w:pPr>
      <w:r>
        <w:rPr>
          <w:rFonts w:ascii="Times New Roman" w:cs="Times New Roman" w:eastAsia="Times New Roman" w:hAnsi="Times New Roman"/>
          <w:sz w:val="22"/>
          <w:szCs w:val="22"/>
          <w:color w:val="auto"/>
        </w:rPr>
        <w:t>SVF II Aggregator (Jersey) L.P.</w:t>
      </w:r>
    </w:p>
    <w:p>
      <w:pPr>
        <w:spacing w:after="0" w:line="152" w:lineRule="exact"/>
        <w:rPr>
          <w:sz w:val="20"/>
          <w:szCs w:val="20"/>
          <w:color w:val="auto"/>
        </w:rPr>
      </w:pPr>
    </w:p>
    <w:p>
      <w:pPr>
        <w:ind w:left="3572"/>
        <w:spacing w:after="0"/>
        <w:tabs>
          <w:tab w:leader="none" w:pos="465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Johnson</w:t>
      </w:r>
    </w:p>
    <w:p>
      <w:pPr>
        <w:spacing w:after="0" w:line="44" w:lineRule="exact"/>
        <w:rPr>
          <w:sz w:val="20"/>
          <w:szCs w:val="20"/>
          <w:color w:val="auto"/>
        </w:rPr>
      </w:pPr>
    </w:p>
    <w:p>
      <w:pPr>
        <w:ind w:left="3572"/>
        <w:spacing w:after="0"/>
        <w:rPr>
          <w:sz w:val="20"/>
          <w:szCs w:val="20"/>
          <w:color w:val="auto"/>
        </w:rPr>
      </w:pPr>
      <w:r>
        <w:rPr>
          <w:rFonts w:ascii="Times New Roman" w:cs="Times New Roman" w:eastAsia="Times New Roman" w:hAnsi="Times New Roman"/>
          <w:sz w:val="22"/>
          <w:szCs w:val="22"/>
          <w:color w:val="auto"/>
        </w:rPr>
        <w:t>Name/Title: Michael Johnson, Director</w:t>
      </w:r>
    </w:p>
    <w:p>
      <w:pPr>
        <w:spacing w:after="0" w:line="44" w:lineRule="exact"/>
        <w:rPr>
          <w:sz w:val="20"/>
          <w:szCs w:val="20"/>
          <w:color w:val="auto"/>
        </w:rPr>
      </w:pPr>
    </w:p>
    <w:p>
      <w:pPr>
        <w:ind w:left="3572"/>
        <w:spacing w:after="0"/>
        <w:tabs>
          <w:tab w:leader="none" w:pos="465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572"/>
        <w:spacing w:after="0"/>
        <w:rPr>
          <w:sz w:val="20"/>
          <w:szCs w:val="20"/>
          <w:color w:val="auto"/>
        </w:rPr>
      </w:pPr>
      <w:r>
        <w:rPr>
          <w:rFonts w:ascii="Times New Roman" w:cs="Times New Roman" w:eastAsia="Times New Roman" w:hAnsi="Times New Roman"/>
          <w:sz w:val="22"/>
          <w:szCs w:val="22"/>
          <w:color w:val="auto"/>
        </w:rPr>
        <w:t>SVF II Holdings (DE) LLC</w:t>
      </w:r>
    </w:p>
    <w:p>
      <w:pPr>
        <w:spacing w:after="0" w:line="152" w:lineRule="exact"/>
        <w:rPr>
          <w:sz w:val="20"/>
          <w:szCs w:val="20"/>
          <w:color w:val="auto"/>
        </w:rPr>
      </w:pPr>
    </w:p>
    <w:p>
      <w:pPr>
        <w:ind w:left="3632"/>
        <w:spacing w:after="0"/>
        <w:tabs>
          <w:tab w:leader="none" w:pos="4711"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Duckles</w:t>
      </w:r>
    </w:p>
    <w:p>
      <w:pPr>
        <w:spacing w:after="0" w:line="44" w:lineRule="exact"/>
        <w:rPr>
          <w:sz w:val="20"/>
          <w:szCs w:val="20"/>
          <w:color w:val="auto"/>
        </w:rPr>
      </w:pPr>
    </w:p>
    <w:p>
      <w:pPr>
        <w:ind w:left="3632"/>
        <w:spacing w:after="0"/>
        <w:rPr>
          <w:sz w:val="20"/>
          <w:szCs w:val="20"/>
          <w:color w:val="auto"/>
        </w:rPr>
      </w:pPr>
      <w:r>
        <w:rPr>
          <w:rFonts w:ascii="Times New Roman" w:cs="Times New Roman" w:eastAsia="Times New Roman" w:hAnsi="Times New Roman"/>
          <w:sz w:val="22"/>
          <w:szCs w:val="22"/>
          <w:color w:val="auto"/>
        </w:rPr>
        <w:t>Name/Title: Jonathan Duckles, Director</w:t>
      </w:r>
    </w:p>
    <w:p>
      <w:pPr>
        <w:spacing w:after="0" w:line="44" w:lineRule="exact"/>
        <w:rPr>
          <w:sz w:val="20"/>
          <w:szCs w:val="20"/>
          <w:color w:val="auto"/>
        </w:rPr>
      </w:pPr>
    </w:p>
    <w:p>
      <w:pPr>
        <w:ind w:left="3632"/>
        <w:spacing w:after="0"/>
        <w:tabs>
          <w:tab w:leader="none" w:pos="4711"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3472"/>
        <w:spacing w:after="0"/>
        <w:rPr>
          <w:sz w:val="20"/>
          <w:szCs w:val="20"/>
          <w:color w:val="auto"/>
        </w:rPr>
      </w:pPr>
      <w:r>
        <w:rPr>
          <w:rFonts w:ascii="Times New Roman" w:cs="Times New Roman" w:eastAsia="Times New Roman" w:hAnsi="Times New Roman"/>
          <w:sz w:val="22"/>
          <w:szCs w:val="22"/>
          <w:color w:val="auto"/>
        </w:rPr>
        <w:t>SVF II SPAC Investment 3 (DE) LLC</w:t>
      </w:r>
    </w:p>
    <w:p>
      <w:pPr>
        <w:sectPr>
          <w:pgSz w:w="11900" w:h="16838" w:orient="portrait"/>
          <w:cols w:equalWidth="0" w:num="1">
            <w:col w:w="11132"/>
          </w:cols>
          <w:pgMar w:left="368" w:top="112" w:right="399" w:bottom="0" w:gutter="0" w:footer="0" w:header="0"/>
        </w:sectPr>
      </w:pPr>
    </w:p>
    <w:bookmarkStart w:id="11" w:name="page12"/>
    <w:bookmarkEnd w:id="11"/>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Jonathan Duckles</w:t>
      </w:r>
    </w:p>
    <w:p>
      <w:pPr>
        <w:spacing w:after="0" w:line="4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1"/>
          <w:szCs w:val="21"/>
          <w:color w:val="auto"/>
        </w:rPr>
        <w:t>Name/Title: Jonathan Duckles, Director</w:t>
      </w:r>
    </w:p>
    <w:p>
      <w:pPr>
        <w:spacing w:after="0" w:line="56" w:lineRule="exact"/>
        <w:rPr>
          <w:sz w:val="20"/>
          <w:szCs w:val="20"/>
          <w:color w:val="auto"/>
        </w:rPr>
      </w:pPr>
    </w:p>
    <w:p>
      <w:pPr>
        <w:ind w:left="256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Silver Brick Management PTE. LTD.</w:t>
      </w:r>
    </w:p>
    <w:p>
      <w:pPr>
        <w:spacing w:after="0" w:line="152"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Kozo Aramaki</w:t>
      </w:r>
    </w:p>
    <w:p>
      <w:pPr>
        <w:spacing w:after="0" w:line="44"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22"/>
          <w:szCs w:val="22"/>
          <w:color w:val="auto"/>
        </w:rPr>
        <w:t>Name/Title: Kozo Aramaki, Director</w:t>
      </w:r>
    </w:p>
    <w:p>
      <w:pPr>
        <w:spacing w:after="0" w:line="44" w:lineRule="exact"/>
        <w:rPr>
          <w:sz w:val="20"/>
          <w:szCs w:val="20"/>
          <w:color w:val="auto"/>
        </w:rPr>
      </w:pPr>
    </w:p>
    <w:p>
      <w:pPr>
        <w:ind w:left="2300"/>
        <w:spacing w:after="0"/>
        <w:tabs>
          <w:tab w:leader="none" w:pos="3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color w:val="auto"/>
        </w:rPr>
        <w:t>SB Northstar LP</w:t>
      </w:r>
    </w:p>
    <w:p>
      <w:pPr>
        <w:spacing w:after="0" w:line="152"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Lam</w:t>
      </w:r>
    </w:p>
    <w:p>
      <w:pPr>
        <w:spacing w:after="0" w:line="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Name/Title: Stephen Lam, Director</w:t>
      </w:r>
    </w:p>
    <w:p>
      <w:pPr>
        <w:spacing w:after="0" w:line="44"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p>
      <w:pPr>
        <w:spacing w:after="0" w:line="152"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22"/>
          <w:szCs w:val="22"/>
          <w:color w:val="auto"/>
        </w:rPr>
        <w:t>SVF II Strategic Investments AIV LLC</w:t>
      </w:r>
    </w:p>
    <w:p>
      <w:pPr>
        <w:spacing w:after="0" w:line="152"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Stephen Lam</w:t>
      </w:r>
    </w:p>
    <w:p>
      <w:pPr>
        <w:spacing w:after="0" w:line="44" w:lineRule="exact"/>
        <w:rPr>
          <w:sz w:val="20"/>
          <w:szCs w:val="20"/>
          <w:color w:val="auto"/>
        </w:rPr>
      </w:pPr>
    </w:p>
    <w:p>
      <w:pPr>
        <w:ind w:left="2180"/>
        <w:spacing w:after="0"/>
        <w:rPr>
          <w:sz w:val="20"/>
          <w:szCs w:val="20"/>
          <w:color w:val="auto"/>
        </w:rPr>
      </w:pPr>
      <w:r>
        <w:rPr>
          <w:rFonts w:ascii="Times New Roman" w:cs="Times New Roman" w:eastAsia="Times New Roman" w:hAnsi="Times New Roman"/>
          <w:sz w:val="22"/>
          <w:szCs w:val="22"/>
          <w:color w:val="auto"/>
        </w:rPr>
        <w:t>Name/Title: Stephen Lam, Director</w:t>
      </w:r>
    </w:p>
    <w:p>
      <w:pPr>
        <w:spacing w:after="0" w:line="44" w:lineRule="exact"/>
        <w:rPr>
          <w:sz w:val="20"/>
          <w:szCs w:val="20"/>
          <w:color w:val="auto"/>
        </w:rPr>
      </w:pPr>
    </w:p>
    <w:p>
      <w:pPr>
        <w:ind w:left="2180"/>
        <w:spacing w:after="0"/>
        <w:tabs>
          <w:tab w:leader="none" w:pos="3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05/29/2026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2"/>
      <w:numFmt w:val="bullet"/>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2026-05-29T20:08:59Z</dcterms:created>
  <dcterms:modified xsi:type="dcterms:W3CDTF">2026-05-29T20:08:59Z</dcterms:modified>
</cp:coreProperties>
</file>