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02660.xml.htm"/>
      <w:bookmarkStart w:id="1" w:name="kswkform4_17877026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Kuffner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223,810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40.5926</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219,858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shares required to be sold by the Reporting Person to cover tax withholding obligations in connection with the vesting and settlement of restricted stock units. These sales were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SEC guidance authorizing aggregate reporting of same-day purchases and sales, the shares were sold in multiple transactions at prices ranging from $40.565 to $40.67,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23, 2024, the Reporting Person was granted 116,977 restricted stock units that vest as follows: 1/3 of the restricted stock units vest on November 23, 2025, and 1/12 of the restricted stock units vest quarterly thereafter,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Corey Dufresne, Attorney-in-Fact for James Kuffner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346"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4402</Characters>
  <CharactersWithSpaces>5125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