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5217795</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-615315</wp:posOffset>
            </wp:positionV>
            <wp:extent cx="57785" cy="628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728345</wp:posOffset>
            </wp:positionV>
            <wp:extent cx="6995795" cy="8169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8169910"/>
                    </a:xfrm>
                    <a:prstGeom prst="rect">
                      <a:avLst/>
                    </a:prstGeom>
                    <a:noFill/>
                  </pic:spPr>
                </pic:pic>
              </a:graphicData>
            </a:graphic>
          </wp:anchor>
        </w:drawing>
      </w:r>
    </w:p>
    <w:p>
      <w:pPr>
        <w:spacing w:after="0" w:line="1153" w:lineRule="exact"/>
        <w:rPr>
          <w:sz w:val="24"/>
          <w:szCs w:val="24"/>
          <w:color w:val="auto"/>
        </w:rPr>
      </w:pPr>
    </w:p>
    <w:p>
      <w:pPr>
        <w:sectPr>
          <w:pgSz w:w="11900" w:h="16902" w:orient="portrait"/>
          <w:cols w:equalWidth="0" w:num="2">
            <w:col w:w="2280" w:space="360"/>
            <w:col w:w="844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KRASNOW TODD</w:t>
              </w:r>
            </w:hyperlink>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3"/>
          </w:tcPr>
          <w:p>
            <w:pPr>
              <w:spacing w:after="0" w:line="177"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Symbotic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SYM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2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020" w:type="dxa"/>
            <w:vAlign w:val="bottom"/>
            <w:tcBorders>
              <w:bottom w:val="single" w:sz="8" w:color="2C2C2C"/>
            </w:tcBorders>
          </w:tcPr>
          <w:p>
            <w:pPr>
              <w:spacing w:after="0"/>
              <w:rPr>
                <w:sz w:val="15"/>
                <w:szCs w:val="15"/>
                <w:color w:val="auto"/>
              </w:rPr>
            </w:pPr>
          </w:p>
        </w:tc>
        <w:tc>
          <w:tcPr>
            <w:tcW w:w="26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8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38" w:lineRule="exact"/>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line="138"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30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0000FF"/>
              </w:rPr>
              <w:t>06/01/2026</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6"/>
          <w:szCs w:val="16"/>
          <w:color w:val="0000FF"/>
        </w:rPr>
        <w:t>C/O SYMBOTIC INC., 200 RESEARCH DRIVE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5" w:right="680" w:firstLine="5"/>
        <w:spacing w:after="0" w:line="251" w:lineRule="auto"/>
        <w:tabs>
          <w:tab w:leader="none" w:pos="13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0"/>
          <w:szCs w:val="20"/>
          <w:color w:val="auto"/>
        </w:rPr>
      </w:pPr>
    </w:p>
    <w:p>
      <w:pPr>
        <w:ind w:left="535"/>
        <w:spacing w:after="0"/>
        <w:tabs>
          <w:tab w:leader="none" w:pos="207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0"/>
          <w:szCs w:val="20"/>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0"/>
          <w:szCs w:val="20"/>
          <w:color w:val="auto"/>
        </w:rPr>
      </w:pPr>
    </w:p>
    <w:p>
      <w:pPr>
        <w:ind w:left="535"/>
        <w:spacing w:after="0"/>
        <w:tabs>
          <w:tab w:leader="none" w:pos="207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5" w:lineRule="exact"/>
        <w:rPr>
          <w:sz w:val="20"/>
          <w:szCs w:val="20"/>
          <w:color w:val="auto"/>
        </w:rPr>
      </w:pPr>
    </w:p>
    <w:p>
      <w:pPr>
        <w:sectPr>
          <w:pgSz w:w="11900" w:h="16902" w:orient="portrait"/>
          <w:cols w:equalWidth="0" w:num="2">
            <w:col w:w="7660" w:space="65"/>
            <w:col w:w="3355"/>
          </w:cols>
          <w:pgMar w:left="460" w:top="216" w:right="359" w:bottom="0" w:gutter="0" w:footer="0" w:header="0"/>
          <w:type w:val="continuous"/>
        </w:sectPr>
      </w:pPr>
    </w:p>
    <w:p>
      <w:pPr>
        <w:spacing w:after="0" w:line="228"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WILMINGTON</w:t>
            </w:r>
          </w:p>
        </w:tc>
        <w:tc>
          <w:tcPr>
            <w:tcW w:w="8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01887</w:t>
            </w:r>
          </w:p>
        </w:tc>
      </w:tr>
      <w:tr>
        <w:trPr>
          <w:trHeight w:val="145"/>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1"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902" w:orient="portrait"/>
          <w:cols w:equalWidth="0" w:num="2">
            <w:col w:w="3740" w:space="16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400"/>
              <w:spacing w:after="0"/>
              <w:rPr>
                <w:sz w:val="20"/>
                <w:szCs w:val="20"/>
                <w:color w:val="auto"/>
              </w:rPr>
            </w:pPr>
            <w:r>
              <w:rPr>
                <w:rFonts w:ascii="Arial" w:cs="Arial" w:eastAsia="Arial" w:hAnsi="Arial"/>
                <w:sz w:val="11"/>
                <w:szCs w:val="11"/>
                <w:b w:val="1"/>
                <w:bCs w:val="1"/>
                <w:color w:val="auto"/>
              </w:rPr>
              <w:t>2. Transaction</w:t>
            </w:r>
          </w:p>
        </w:tc>
        <w:tc>
          <w:tcPr>
            <w:tcW w:w="28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480" w:type="dxa"/>
            <w:vAlign w:val="bottom"/>
          </w:tcPr>
          <w:p>
            <w:pPr>
              <w:spacing w:after="0"/>
              <w:rPr>
                <w:sz w:val="13"/>
                <w:szCs w:val="13"/>
                <w:color w:val="auto"/>
              </w:rPr>
            </w:pPr>
          </w:p>
        </w:tc>
        <w:tc>
          <w:tcPr>
            <w:tcW w:w="206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100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gridSpan w:val="2"/>
          </w:tcPr>
          <w:p>
            <w:pPr>
              <w:ind w:left="400"/>
              <w:spacing w:after="0"/>
              <w:rPr>
                <w:sz w:val="20"/>
                <w:szCs w:val="20"/>
                <w:color w:val="auto"/>
              </w:rPr>
            </w:pPr>
            <w:r>
              <w:rPr>
                <w:rFonts w:ascii="Arial" w:cs="Arial" w:eastAsia="Arial" w:hAnsi="Arial"/>
                <w:sz w:val="11"/>
                <w:szCs w:val="11"/>
                <w:b w:val="1"/>
                <w:bCs w:val="1"/>
                <w:color w:val="auto"/>
              </w:rPr>
              <w:t>Date</w:t>
            </w:r>
          </w:p>
        </w:tc>
        <w:tc>
          <w:tcPr>
            <w:tcW w:w="280" w:type="dxa"/>
            <w:vAlign w:val="bottom"/>
          </w:tcPr>
          <w:p>
            <w:pPr>
              <w:spacing w:after="0"/>
              <w:rPr>
                <w:sz w:val="11"/>
                <w:szCs w:val="11"/>
                <w:color w:val="auto"/>
              </w:rPr>
            </w:pPr>
          </w:p>
        </w:tc>
        <w:tc>
          <w:tcPr>
            <w:tcW w:w="1060" w:type="dxa"/>
            <w:vAlign w:val="bottom"/>
            <w:gridSpan w:val="3"/>
          </w:tcPr>
          <w:p>
            <w:pPr>
              <w:spacing w:after="0"/>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206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1"/>
                <w:szCs w:val="11"/>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1000" w:type="dxa"/>
            <w:vAlign w:val="bottom"/>
            <w:gridSpan w:val="4"/>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60" w:type="dxa"/>
            <w:vAlign w:val="bottom"/>
            <w:gridSpan w:val="3"/>
          </w:tcPr>
          <w:p>
            <w:pPr>
              <w:jc w:val="center"/>
              <w:ind w:left="21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100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100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w:t>
            </w:r>
          </w:p>
        </w:tc>
        <w:tc>
          <w:tcPr>
            <w:tcW w:w="4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V</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V-1 Common Stock</w:t>
            </w:r>
            <w:r>
              <w:rPr>
                <w:rFonts w:ascii="Times New Roman" w:cs="Times New Roman" w:eastAsia="Times New Roman" w:hAnsi="Times New Roman"/>
                <w:sz w:val="21"/>
                <w:szCs w:val="21"/>
                <w:color w:val="008000"/>
                <w:vertAlign w:val="superscript"/>
              </w:rPr>
              <w:t>(1)(2)</w:t>
            </w:r>
          </w:p>
        </w:tc>
        <w:tc>
          <w:tcPr>
            <w:tcW w:w="1460" w:type="dxa"/>
            <w:vAlign w:val="bottom"/>
            <w:gridSpan w:val="3"/>
            <w:vMerge w:val="restart"/>
          </w:tcPr>
          <w:p>
            <w:pPr>
              <w:jc w:val="center"/>
              <w:ind w:left="210"/>
              <w:spacing w:after="0"/>
              <w:rPr>
                <w:sz w:val="20"/>
                <w:szCs w:val="20"/>
                <w:color w:val="auto"/>
              </w:rPr>
            </w:pPr>
            <w:r>
              <w:rPr>
                <w:rFonts w:ascii="Times New Roman" w:cs="Times New Roman" w:eastAsia="Times New Roman" w:hAnsi="Times New Roman"/>
                <w:sz w:val="16"/>
                <w:szCs w:val="16"/>
                <w:color w:val="0000FF"/>
              </w:rPr>
              <w:t>06/01/2026</w:t>
            </w: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(1)(2)(3)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2,000</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(1)(2)(3)</w:t>
            </w:r>
          </w:p>
        </w:tc>
        <w:tc>
          <w:tcPr>
            <w:tcW w:w="60" w:type="dxa"/>
            <w:vAlign w:val="bottom"/>
          </w:tcPr>
          <w:p>
            <w:pPr>
              <w:spacing w:after="0"/>
              <w:rPr>
                <w:sz w:val="20"/>
                <w:szCs w:val="20"/>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532,002</w:t>
            </w:r>
          </w:p>
        </w:tc>
        <w:tc>
          <w:tcPr>
            <w:tcW w:w="280" w:type="dxa"/>
            <w:vAlign w:val="bottom"/>
          </w:tcPr>
          <w:p>
            <w:pPr>
              <w:spacing w:after="0"/>
              <w:rPr>
                <w:sz w:val="20"/>
                <w:szCs w:val="20"/>
                <w:color w:val="auto"/>
              </w:rPr>
            </w:pPr>
          </w:p>
        </w:tc>
        <w:tc>
          <w:tcPr>
            <w:tcW w:w="620" w:type="dxa"/>
            <w:vAlign w:val="bottom"/>
            <w:vMerge w:val="restart"/>
          </w:tcPr>
          <w:p>
            <w:pPr>
              <w:jc w:val="center"/>
              <w:ind w:right="329"/>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By Inlet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40" w:type="dxa"/>
            <w:vAlign w:val="bottom"/>
            <w:gridSpan w:val="3"/>
            <w:vMerge w:val="continue"/>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View, Inc.</w:t>
            </w:r>
            <w:r>
              <w:rPr>
                <w:rFonts w:ascii="Times New Roman" w:cs="Times New Roman" w:eastAsia="Times New Roman" w:hAnsi="Times New Roman"/>
                <w:sz w:val="21"/>
                <w:szCs w:val="21"/>
                <w:color w:val="008000"/>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60" w:type="dxa"/>
            <w:vAlign w:val="bottom"/>
            <w:gridSpan w:val="3"/>
            <w:vMerge w:val="restart"/>
          </w:tcPr>
          <w:p>
            <w:pPr>
              <w:jc w:val="center"/>
              <w:ind w:left="210"/>
              <w:spacing w:after="0"/>
              <w:rPr>
                <w:sz w:val="20"/>
                <w:szCs w:val="20"/>
                <w:color w:val="auto"/>
              </w:rPr>
            </w:pPr>
            <w:r>
              <w:rPr>
                <w:rFonts w:ascii="Times New Roman" w:cs="Times New Roman" w:eastAsia="Times New Roman" w:hAnsi="Times New Roman"/>
                <w:sz w:val="16"/>
                <w:szCs w:val="16"/>
                <w:color w:val="0000FF"/>
              </w:rPr>
              <w:t>06/01/2026</w:t>
            </w: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(1)(2)(3)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2,000</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(1)(2)(3)</w:t>
            </w:r>
          </w:p>
        </w:tc>
        <w:tc>
          <w:tcPr>
            <w:tcW w:w="60" w:type="dxa"/>
            <w:vAlign w:val="bottom"/>
          </w:tcPr>
          <w:p>
            <w:pPr>
              <w:spacing w:after="0"/>
              <w:rPr>
                <w:sz w:val="20"/>
                <w:szCs w:val="20"/>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2,000</w:t>
            </w:r>
          </w:p>
        </w:tc>
        <w:tc>
          <w:tcPr>
            <w:tcW w:w="280" w:type="dxa"/>
            <w:vAlign w:val="bottom"/>
          </w:tcPr>
          <w:p>
            <w:pPr>
              <w:spacing w:after="0"/>
              <w:rPr>
                <w:sz w:val="20"/>
                <w:szCs w:val="20"/>
                <w:color w:val="auto"/>
              </w:rPr>
            </w:pPr>
          </w:p>
        </w:tc>
        <w:tc>
          <w:tcPr>
            <w:tcW w:w="620" w:type="dxa"/>
            <w:vAlign w:val="bottom"/>
            <w:vMerge w:val="restart"/>
          </w:tcPr>
          <w:p>
            <w:pPr>
              <w:jc w:val="center"/>
              <w:ind w:right="329"/>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By Inlet</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40" w:type="dxa"/>
            <w:vAlign w:val="bottom"/>
            <w:gridSpan w:val="3"/>
            <w:vMerge w:val="continue"/>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View, Inc.</w:t>
            </w:r>
            <w:r>
              <w:rPr>
                <w:rFonts w:ascii="Times New Roman" w:cs="Times New Roman" w:eastAsia="Times New Roman" w:hAnsi="Times New Roman"/>
                <w:sz w:val="21"/>
                <w:szCs w:val="21"/>
                <w:color w:val="008000"/>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60" w:type="dxa"/>
            <w:vAlign w:val="bottom"/>
            <w:gridSpan w:val="3"/>
            <w:vMerge w:val="restart"/>
          </w:tcPr>
          <w:p>
            <w:pPr>
              <w:jc w:val="center"/>
              <w:ind w:left="210"/>
              <w:spacing w:after="0"/>
              <w:rPr>
                <w:sz w:val="20"/>
                <w:szCs w:val="20"/>
                <w:color w:val="auto"/>
              </w:rPr>
            </w:pPr>
            <w:r>
              <w:rPr>
                <w:rFonts w:ascii="Times New Roman" w:cs="Times New Roman" w:eastAsia="Times New Roman" w:hAnsi="Times New Roman"/>
                <w:sz w:val="16"/>
                <w:szCs w:val="16"/>
                <w:color w:val="0000FF"/>
              </w:rPr>
              <w:t>06/01/2026</w:t>
            </w: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(5)</w:t>
            </w:r>
          </w:p>
        </w:tc>
        <w:tc>
          <w:tcPr>
            <w:tcW w:w="480" w:type="dxa"/>
            <w:vAlign w:val="bottom"/>
          </w:tcPr>
          <w:p>
            <w:pPr>
              <w:spacing w:after="0"/>
              <w:rPr>
                <w:sz w:val="20"/>
                <w:szCs w:val="2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483</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gridSpan w:val="2"/>
            <w:vMerge w:val="restart"/>
          </w:tcPr>
          <w:p>
            <w:pPr>
              <w:jc w:val="center"/>
              <w:ind w:right="20"/>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45.9652</w:t>
            </w:r>
            <w:r>
              <w:rPr>
                <w:rFonts w:ascii="Times New Roman" w:cs="Times New Roman" w:eastAsia="Times New Roman" w:hAnsi="Times New Roman"/>
                <w:sz w:val="21"/>
                <w:szCs w:val="21"/>
                <w:color w:val="008000"/>
                <w:w w:val="98"/>
                <w:vertAlign w:val="superscript"/>
              </w:rPr>
              <w:t>(6)</w:t>
            </w: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1,517</w:t>
            </w:r>
          </w:p>
        </w:tc>
        <w:tc>
          <w:tcPr>
            <w:tcW w:w="280" w:type="dxa"/>
            <w:vAlign w:val="bottom"/>
          </w:tcPr>
          <w:p>
            <w:pPr>
              <w:spacing w:after="0"/>
              <w:rPr>
                <w:sz w:val="20"/>
                <w:szCs w:val="20"/>
                <w:color w:val="auto"/>
              </w:rPr>
            </w:pPr>
          </w:p>
        </w:tc>
        <w:tc>
          <w:tcPr>
            <w:tcW w:w="620" w:type="dxa"/>
            <w:vAlign w:val="bottom"/>
            <w:vMerge w:val="restart"/>
          </w:tcPr>
          <w:p>
            <w:pPr>
              <w:jc w:val="center"/>
              <w:ind w:right="329"/>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By Inlet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40" w:type="dxa"/>
            <w:vAlign w:val="bottom"/>
            <w:gridSpan w:val="3"/>
            <w:vMerge w:val="continue"/>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View, Inc.</w:t>
            </w:r>
            <w:r>
              <w:rPr>
                <w:rFonts w:ascii="Times New Roman" w:cs="Times New Roman" w:eastAsia="Times New Roman" w:hAnsi="Times New Roman"/>
                <w:sz w:val="21"/>
                <w:szCs w:val="21"/>
                <w:color w:val="008000"/>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60" w:type="dxa"/>
            <w:vAlign w:val="bottom"/>
            <w:gridSpan w:val="3"/>
            <w:vMerge w:val="restart"/>
          </w:tcPr>
          <w:p>
            <w:pPr>
              <w:jc w:val="center"/>
              <w:ind w:left="210"/>
              <w:spacing w:after="0"/>
              <w:rPr>
                <w:sz w:val="20"/>
                <w:szCs w:val="20"/>
                <w:color w:val="auto"/>
              </w:rPr>
            </w:pPr>
            <w:r>
              <w:rPr>
                <w:rFonts w:ascii="Times New Roman" w:cs="Times New Roman" w:eastAsia="Times New Roman" w:hAnsi="Times New Roman"/>
                <w:sz w:val="16"/>
                <w:szCs w:val="16"/>
                <w:color w:val="0000FF"/>
              </w:rPr>
              <w:t>06/01/2026</w:t>
            </w: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(5)</w:t>
            </w:r>
          </w:p>
        </w:tc>
        <w:tc>
          <w:tcPr>
            <w:tcW w:w="480" w:type="dxa"/>
            <w:vAlign w:val="bottom"/>
          </w:tcPr>
          <w:p>
            <w:pPr>
              <w:spacing w:after="0"/>
              <w:rPr>
                <w:sz w:val="20"/>
                <w:szCs w:val="2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348</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gridSpan w:val="2"/>
            <w:vMerge w:val="restart"/>
          </w:tcPr>
          <w:p>
            <w:pPr>
              <w:jc w:val="center"/>
              <w:ind w:right="20"/>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47.0248</w:t>
            </w:r>
            <w:r>
              <w:rPr>
                <w:rFonts w:ascii="Times New Roman" w:cs="Times New Roman" w:eastAsia="Times New Roman" w:hAnsi="Times New Roman"/>
                <w:sz w:val="21"/>
                <w:szCs w:val="21"/>
                <w:color w:val="008000"/>
                <w:w w:val="98"/>
                <w:vertAlign w:val="superscript"/>
              </w:rPr>
              <w:t>(7)</w:t>
            </w: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1,169</w:t>
            </w:r>
          </w:p>
        </w:tc>
        <w:tc>
          <w:tcPr>
            <w:tcW w:w="280" w:type="dxa"/>
            <w:vAlign w:val="bottom"/>
          </w:tcPr>
          <w:p>
            <w:pPr>
              <w:spacing w:after="0"/>
              <w:rPr>
                <w:sz w:val="20"/>
                <w:szCs w:val="20"/>
                <w:color w:val="auto"/>
              </w:rPr>
            </w:pPr>
          </w:p>
        </w:tc>
        <w:tc>
          <w:tcPr>
            <w:tcW w:w="620" w:type="dxa"/>
            <w:vAlign w:val="bottom"/>
            <w:vMerge w:val="restart"/>
          </w:tcPr>
          <w:p>
            <w:pPr>
              <w:jc w:val="center"/>
              <w:ind w:right="329"/>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By Inlet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40" w:type="dxa"/>
            <w:vAlign w:val="bottom"/>
            <w:gridSpan w:val="3"/>
            <w:vMerge w:val="continue"/>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View, Inc.</w:t>
            </w:r>
            <w:r>
              <w:rPr>
                <w:rFonts w:ascii="Times New Roman" w:cs="Times New Roman" w:eastAsia="Times New Roman" w:hAnsi="Times New Roman"/>
                <w:sz w:val="21"/>
                <w:szCs w:val="21"/>
                <w:color w:val="008000"/>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60" w:type="dxa"/>
            <w:vAlign w:val="bottom"/>
            <w:gridSpan w:val="3"/>
            <w:vMerge w:val="restart"/>
          </w:tcPr>
          <w:p>
            <w:pPr>
              <w:jc w:val="center"/>
              <w:ind w:left="210"/>
              <w:spacing w:after="0"/>
              <w:rPr>
                <w:sz w:val="20"/>
                <w:szCs w:val="20"/>
                <w:color w:val="auto"/>
              </w:rPr>
            </w:pPr>
            <w:r>
              <w:rPr>
                <w:rFonts w:ascii="Times New Roman" w:cs="Times New Roman" w:eastAsia="Times New Roman" w:hAnsi="Times New Roman"/>
                <w:sz w:val="16"/>
                <w:szCs w:val="16"/>
                <w:color w:val="0000FF"/>
              </w:rPr>
              <w:t>06/01/2026</w:t>
            </w: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(5)</w:t>
            </w:r>
          </w:p>
        </w:tc>
        <w:tc>
          <w:tcPr>
            <w:tcW w:w="480" w:type="dxa"/>
            <w:vAlign w:val="bottom"/>
          </w:tcPr>
          <w:p>
            <w:pPr>
              <w:spacing w:after="0"/>
              <w:rPr>
                <w:sz w:val="20"/>
                <w:szCs w:val="2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1,101</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47.901</w:t>
            </w:r>
            <w:r>
              <w:rPr>
                <w:rFonts w:ascii="Times New Roman" w:cs="Times New Roman" w:eastAsia="Times New Roman" w:hAnsi="Times New Roman"/>
                <w:sz w:val="21"/>
                <w:szCs w:val="21"/>
                <w:color w:val="008000"/>
                <w:w w:val="98"/>
                <w:vertAlign w:val="superscript"/>
              </w:rPr>
              <w:t>(8)</w:t>
            </w:r>
          </w:p>
        </w:tc>
        <w:tc>
          <w:tcPr>
            <w:tcW w:w="60" w:type="dxa"/>
            <w:vAlign w:val="bottom"/>
          </w:tcPr>
          <w:p>
            <w:pPr>
              <w:spacing w:after="0"/>
              <w:rPr>
                <w:sz w:val="20"/>
                <w:szCs w:val="20"/>
                <w:color w:val="auto"/>
              </w:rPr>
            </w:pPr>
          </w:p>
        </w:tc>
        <w:tc>
          <w:tcPr>
            <w:tcW w:w="680" w:type="dxa"/>
            <w:vAlign w:val="bottom"/>
            <w:gridSpan w:val="2"/>
            <w:vMerge w:val="restart"/>
          </w:tcPr>
          <w:p>
            <w:pPr>
              <w:jc w:val="center"/>
              <w:ind w:left="446"/>
              <w:spacing w:after="0"/>
              <w:rPr>
                <w:sz w:val="20"/>
                <w:szCs w:val="20"/>
                <w:color w:val="auto"/>
              </w:rPr>
            </w:pPr>
            <w:r>
              <w:rPr>
                <w:rFonts w:ascii="Times New Roman" w:cs="Times New Roman" w:eastAsia="Times New Roman" w:hAnsi="Times New Roman"/>
                <w:sz w:val="16"/>
                <w:szCs w:val="16"/>
                <w:color w:val="0000FF"/>
                <w:w w:val="99"/>
              </w:rPr>
              <w:t>68</w:t>
            </w: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vMerge w:val="restart"/>
          </w:tcPr>
          <w:p>
            <w:pPr>
              <w:jc w:val="center"/>
              <w:ind w:right="329"/>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By Inlet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40" w:type="dxa"/>
            <w:vAlign w:val="bottom"/>
            <w:gridSpan w:val="3"/>
            <w:vMerge w:val="continue"/>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View, Inc.</w:t>
            </w:r>
            <w:r>
              <w:rPr>
                <w:rFonts w:ascii="Times New Roman" w:cs="Times New Roman" w:eastAsia="Times New Roman" w:hAnsi="Times New Roman"/>
                <w:sz w:val="21"/>
                <w:szCs w:val="21"/>
                <w:color w:val="008000"/>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60" w:type="dxa"/>
            <w:vAlign w:val="bottom"/>
            <w:gridSpan w:val="3"/>
            <w:vMerge w:val="restart"/>
          </w:tcPr>
          <w:p>
            <w:pPr>
              <w:jc w:val="center"/>
              <w:ind w:left="210"/>
              <w:spacing w:after="0"/>
              <w:rPr>
                <w:sz w:val="20"/>
                <w:szCs w:val="20"/>
                <w:color w:val="auto"/>
              </w:rPr>
            </w:pPr>
            <w:r>
              <w:rPr>
                <w:rFonts w:ascii="Times New Roman" w:cs="Times New Roman" w:eastAsia="Times New Roman" w:hAnsi="Times New Roman"/>
                <w:sz w:val="16"/>
                <w:szCs w:val="16"/>
                <w:color w:val="0000FF"/>
              </w:rPr>
              <w:t>06/01/2026</w:t>
            </w: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(5)</w:t>
            </w:r>
          </w:p>
        </w:tc>
        <w:tc>
          <w:tcPr>
            <w:tcW w:w="480" w:type="dxa"/>
            <w:vAlign w:val="bottom"/>
          </w:tcPr>
          <w:p>
            <w:pPr>
              <w:spacing w:after="0"/>
              <w:rPr>
                <w:sz w:val="20"/>
                <w:szCs w:val="2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68</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48.51</w:t>
            </w:r>
          </w:p>
        </w:tc>
        <w:tc>
          <w:tcPr>
            <w:tcW w:w="60" w:type="dxa"/>
            <w:vAlign w:val="bottom"/>
          </w:tcPr>
          <w:p>
            <w:pPr>
              <w:spacing w:after="0"/>
              <w:rPr>
                <w:sz w:val="20"/>
                <w:szCs w:val="20"/>
                <w:color w:val="auto"/>
              </w:rPr>
            </w:pPr>
          </w:p>
        </w:tc>
        <w:tc>
          <w:tcPr>
            <w:tcW w:w="680" w:type="dxa"/>
            <w:vAlign w:val="bottom"/>
            <w:gridSpan w:val="2"/>
            <w:vMerge w:val="restart"/>
          </w:tcPr>
          <w:p>
            <w:pPr>
              <w:jc w:val="center"/>
              <w:ind w:left="446"/>
              <w:spacing w:after="0"/>
              <w:rPr>
                <w:sz w:val="20"/>
                <w:szCs w:val="20"/>
                <w:color w:val="auto"/>
              </w:rPr>
            </w:pPr>
            <w:r>
              <w:rPr>
                <w:rFonts w:ascii="Times New Roman" w:cs="Times New Roman" w:eastAsia="Times New Roman" w:hAnsi="Times New Roman"/>
                <w:sz w:val="16"/>
                <w:szCs w:val="16"/>
                <w:color w:val="0000FF"/>
                <w:w w:val="99"/>
              </w:rPr>
              <w:t>0</w:t>
            </w: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vMerge w:val="restart"/>
          </w:tcPr>
          <w:p>
            <w:pPr>
              <w:jc w:val="center"/>
              <w:ind w:right="329"/>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By Inlet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540" w:type="dxa"/>
            <w:vAlign w:val="bottom"/>
            <w:gridSpan w:val="3"/>
            <w:vMerge w:val="continue"/>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0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View, Inc.</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5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1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20" w:type="dxa"/>
            <w:vAlign w:val="bottom"/>
            <w:tcBorders>
              <w:top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3,367</w:t>
            </w:r>
          </w:p>
        </w:tc>
        <w:tc>
          <w:tcPr>
            <w:tcW w:w="2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jc w:val="center"/>
              <w:ind w:right="349"/>
              <w:spacing w:after="0"/>
              <w:rPr>
                <w:sz w:val="20"/>
                <w:szCs w:val="20"/>
                <w:color w:val="auto"/>
              </w:rPr>
            </w:pPr>
            <w:r>
              <w:rPr>
                <w:rFonts w:ascii="Times New Roman" w:cs="Times New Roman" w:eastAsia="Times New Roman" w:hAnsi="Times New Roman"/>
                <w:sz w:val="16"/>
                <w:szCs w:val="16"/>
                <w:color w:val="0000FF"/>
              </w:rPr>
              <w:t>D</w:t>
            </w:r>
          </w:p>
        </w:tc>
        <w:tc>
          <w:tcPr>
            <w:tcW w:w="2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40,000</w:t>
            </w:r>
          </w:p>
        </w:tc>
        <w:tc>
          <w:tcPr>
            <w:tcW w:w="280" w:type="dxa"/>
            <w:vAlign w:val="bottom"/>
          </w:tcPr>
          <w:p>
            <w:pPr>
              <w:spacing w:after="0"/>
              <w:rPr>
                <w:sz w:val="24"/>
                <w:szCs w:val="24"/>
                <w:color w:val="auto"/>
              </w:rPr>
            </w:pPr>
          </w:p>
        </w:tc>
        <w:tc>
          <w:tcPr>
            <w:tcW w:w="620" w:type="dxa"/>
            <w:vAlign w:val="bottom"/>
          </w:tcPr>
          <w:p>
            <w:pPr>
              <w:jc w:val="center"/>
              <w:ind w:right="329"/>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By Trust</w:t>
            </w:r>
            <w:r>
              <w:rPr>
                <w:rFonts w:ascii="Times New Roman" w:cs="Times New Roman" w:eastAsia="Times New Roman" w:hAnsi="Times New Roman"/>
                <w:sz w:val="21"/>
                <w:szCs w:val="21"/>
                <w:color w:val="008000"/>
                <w:vertAlign w:val="superscript"/>
              </w:rPr>
              <w:t>(9)</w:t>
            </w: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4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V-1 Common Stock</w:t>
            </w:r>
            <w:r>
              <w:rPr>
                <w:rFonts w:ascii="Times New Roman" w:cs="Times New Roman" w:eastAsia="Times New Roman" w:hAnsi="Times New Roman"/>
                <w:sz w:val="21"/>
                <w:szCs w:val="21"/>
                <w:color w:val="008000"/>
                <w:vertAlign w:val="superscript"/>
              </w:rPr>
              <w:t>(1)(2)</w:t>
            </w:r>
          </w:p>
        </w:tc>
        <w:tc>
          <w:tcPr>
            <w:tcW w:w="11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220" w:type="dxa"/>
            <w:vAlign w:val="bottom"/>
            <w:tcBorders>
              <w:top w:val="single" w:sz="8" w:color="2C2C2C"/>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177,036</w:t>
            </w:r>
          </w:p>
        </w:tc>
        <w:tc>
          <w:tcPr>
            <w:tcW w:w="28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jc w:val="center"/>
              <w:ind w:right="349"/>
              <w:spacing w:after="0"/>
              <w:rPr>
                <w:sz w:val="20"/>
                <w:szCs w:val="20"/>
                <w:color w:val="auto"/>
              </w:rPr>
            </w:pPr>
            <w:r>
              <w:rPr>
                <w:rFonts w:ascii="Times New Roman" w:cs="Times New Roman" w:eastAsia="Times New Roman" w:hAnsi="Times New Roman"/>
                <w:sz w:val="16"/>
                <w:szCs w:val="16"/>
                <w:color w:val="0000FF"/>
              </w:rPr>
              <w:t>D</w:t>
            </w:r>
          </w:p>
        </w:tc>
        <w:tc>
          <w:tcPr>
            <w:tcW w:w="20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V-1 Common Stock</w:t>
            </w:r>
            <w:r>
              <w:rPr>
                <w:rFonts w:ascii="Times New Roman" w:cs="Times New Roman" w:eastAsia="Times New Roman" w:hAnsi="Times New Roman"/>
                <w:sz w:val="21"/>
                <w:szCs w:val="21"/>
                <w:color w:val="008000"/>
                <w:vertAlign w:val="superscript"/>
              </w:rPr>
              <w:t>(1)(2)</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180,000</w:t>
            </w:r>
          </w:p>
        </w:tc>
        <w:tc>
          <w:tcPr>
            <w:tcW w:w="280" w:type="dxa"/>
            <w:vAlign w:val="bottom"/>
          </w:tcPr>
          <w:p>
            <w:pPr>
              <w:spacing w:after="0"/>
              <w:rPr>
                <w:sz w:val="20"/>
                <w:szCs w:val="20"/>
                <w:color w:val="auto"/>
              </w:rPr>
            </w:pPr>
          </w:p>
        </w:tc>
        <w:tc>
          <w:tcPr>
            <w:tcW w:w="620" w:type="dxa"/>
            <w:vAlign w:val="bottom"/>
            <w:vMerge w:val="restart"/>
          </w:tcPr>
          <w:p>
            <w:pPr>
              <w:jc w:val="center"/>
              <w:ind w:right="329"/>
              <w:spacing w:after="0"/>
              <w:rPr>
                <w:sz w:val="20"/>
                <w:szCs w:val="20"/>
                <w:color w:val="auto"/>
              </w:rPr>
            </w:pPr>
            <w:r>
              <w:rPr>
                <w:rFonts w:ascii="Times New Roman" w:cs="Times New Roman" w:eastAsia="Times New Roman" w:hAnsi="Times New Roman"/>
                <w:sz w:val="16"/>
                <w:szCs w:val="16"/>
                <w:color w:val="0000FF"/>
              </w:rPr>
              <w:t>I</w:t>
            </w: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0000FF"/>
                <w:w w:val="96"/>
              </w:rPr>
              <w:t>By</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40" w:type="dxa"/>
            <w:vAlign w:val="bottom"/>
            <w:gridSpan w:val="3"/>
            <w:vMerge w:val="continue"/>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0" w:type="dxa"/>
            <w:vAlign w:val="bottom"/>
            <w:gridSpan w:val="4"/>
            <w:vMerge w:val="restart"/>
          </w:tcPr>
          <w:p>
            <w:pPr>
              <w:spacing w:after="0" w:line="266" w:lineRule="exact"/>
              <w:rPr>
                <w:sz w:val="20"/>
                <w:szCs w:val="20"/>
                <w:color w:val="auto"/>
              </w:rPr>
            </w:pPr>
            <w:r>
              <w:rPr>
                <w:rFonts w:ascii="Times New Roman" w:cs="Times New Roman" w:eastAsia="Times New Roman" w:hAnsi="Times New Roman"/>
                <w:sz w:val="30"/>
                <w:szCs w:val="30"/>
                <w:color w:val="0000FF"/>
                <w:vertAlign w:val="subscript"/>
              </w:rPr>
              <w:t>Spouse</w:t>
            </w:r>
            <w:r>
              <w:rPr>
                <w:rFonts w:ascii="Times New Roman" w:cs="Times New Roman" w:eastAsia="Times New Roman" w:hAnsi="Times New Roman"/>
                <w:sz w:val="10"/>
                <w:szCs w:val="10"/>
                <w:color w:val="008000"/>
              </w:rPr>
              <w:t>(10)(11)</w:t>
            </w:r>
          </w:p>
        </w:tc>
        <w:tc>
          <w:tcPr>
            <w:tcW w:w="0" w:type="dxa"/>
            <w:vAlign w:val="bottom"/>
          </w:tcPr>
          <w:p>
            <w:pPr>
              <w:spacing w:after="0"/>
              <w:rPr>
                <w:sz w:val="1"/>
                <w:szCs w:val="1"/>
                <w:color w:val="auto"/>
              </w:rPr>
            </w:pPr>
          </w:p>
        </w:tc>
      </w:tr>
      <w:tr>
        <w:trPr>
          <w:trHeight w:val="147"/>
        </w:trPr>
        <w:tc>
          <w:tcPr>
            <w:tcW w:w="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80" w:type="dxa"/>
            <w:vAlign w:val="bottom"/>
            <w:gridSpan w:val="14"/>
          </w:tcPr>
          <w:p>
            <w:pPr>
              <w:jc w:val="center"/>
              <w:ind w:right="6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0" w:type="dxa"/>
            <w:vAlign w:val="bottom"/>
            <w:gridSpan w:val="12"/>
          </w:tcPr>
          <w:p>
            <w:pPr>
              <w:jc w:val="center"/>
              <w:ind w:left="49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1"/>
                <w:szCs w:val="11"/>
                <w:b w:val="1"/>
                <w:bCs w:val="1"/>
                <w:color w:val="auto"/>
              </w:rPr>
              <w:t>3A. Deemed</w:t>
            </w:r>
          </w:p>
        </w:tc>
        <w:tc>
          <w:tcPr>
            <w:tcW w:w="280" w:type="dxa"/>
            <w:vAlign w:val="bottom"/>
          </w:tcPr>
          <w:p>
            <w:pPr>
              <w:spacing w:after="0"/>
              <w:rPr>
                <w:sz w:val="20"/>
                <w:szCs w:val="20"/>
                <w:color w:val="auto"/>
              </w:rPr>
            </w:pPr>
            <w:r>
              <w:rPr>
                <w:rFonts w:ascii="Arial" w:cs="Arial" w:eastAsia="Arial" w:hAnsi="Arial"/>
                <w:sz w:val="11"/>
                <w:szCs w:val="11"/>
                <w:b w:val="1"/>
                <w:bCs w:val="1"/>
                <w:color w:val="auto"/>
              </w:rPr>
              <w:t>4.</w:t>
            </w:r>
          </w:p>
        </w:tc>
        <w:tc>
          <w:tcPr>
            <w:tcW w:w="4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w:t>
            </w:r>
          </w:p>
        </w:tc>
        <w:tc>
          <w:tcPr>
            <w:tcW w:w="1540" w:type="dxa"/>
            <w:vAlign w:val="bottom"/>
            <w:gridSpan w:val="3"/>
          </w:tcPr>
          <w:p>
            <w:pPr>
              <w:ind w:left="14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00" w:type="dxa"/>
            <w:vAlign w:val="bottom"/>
          </w:tcPr>
          <w:p>
            <w:pPr>
              <w:spacing w:after="0"/>
              <w:rPr>
                <w:sz w:val="14"/>
                <w:szCs w:val="14"/>
                <w:color w:val="auto"/>
              </w:rPr>
            </w:pP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80" w:type="dxa"/>
            <w:vAlign w:val="bottom"/>
            <w:gridSpan w:val="2"/>
          </w:tcPr>
          <w:p>
            <w:pPr>
              <w:ind w:left="12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Transaction</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of</w:t>
            </w:r>
          </w:p>
        </w:tc>
        <w:tc>
          <w:tcPr>
            <w:tcW w:w="1540" w:type="dxa"/>
            <w:vAlign w:val="bottom"/>
            <w:gridSpan w:val="3"/>
          </w:tcPr>
          <w:p>
            <w:pPr>
              <w:ind w:left="14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80" w:type="dxa"/>
            <w:vAlign w:val="bottom"/>
            <w:gridSpan w:val="2"/>
          </w:tcPr>
          <w:p>
            <w:pPr>
              <w:ind w:left="120"/>
              <w:spacing w:after="0"/>
              <w:rPr>
                <w:sz w:val="20"/>
                <w:szCs w:val="20"/>
                <w:color w:val="auto"/>
              </w:rPr>
            </w:pPr>
            <w:r>
              <w:rPr>
                <w:rFonts w:ascii="Arial" w:cs="Arial" w:eastAsia="Arial" w:hAnsi="Arial"/>
                <w:sz w:val="11"/>
                <w:szCs w:val="11"/>
                <w:b w:val="1"/>
                <w:bCs w:val="1"/>
                <w:color w:val="auto"/>
              </w:rPr>
              <w:t>if any</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Code (Instr.</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3"/>
          </w:tcPr>
          <w:p>
            <w:pPr>
              <w:ind w:left="14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00" w:type="dxa"/>
            <w:vAlign w:val="bottom"/>
          </w:tcPr>
          <w:p>
            <w:pPr>
              <w:spacing w:after="0"/>
              <w:rPr>
                <w:sz w:val="11"/>
                <w:szCs w:val="11"/>
                <w:color w:val="auto"/>
              </w:rPr>
            </w:pP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1"/>
                <w:szCs w:val="11"/>
                <w:color w:val="auto"/>
              </w:rPr>
            </w:pPr>
          </w:p>
        </w:tc>
        <w:tc>
          <w:tcPr>
            <w:tcW w:w="118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280" w:type="dxa"/>
            <w:vAlign w:val="bottom"/>
          </w:tcPr>
          <w:p>
            <w:pPr>
              <w:spacing w:after="0"/>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1"/>
                <w:szCs w:val="11"/>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200" w:type="dxa"/>
            <w:vAlign w:val="bottom"/>
          </w:tcPr>
          <w:p>
            <w:pPr>
              <w:spacing w:after="0"/>
              <w:rPr>
                <w:sz w:val="11"/>
                <w:szCs w:val="11"/>
                <w:color w:val="auto"/>
              </w:rPr>
            </w:pP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Acquired</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(A) or</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Disposed</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of (D)</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4</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and 5)</w:t>
            </w: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Arial" w:cs="Arial" w:eastAsia="Arial" w:hAnsi="Arial"/>
                <w:sz w:val="11"/>
                <w:szCs w:val="11"/>
                <w:b w:val="1"/>
                <w:bCs w:val="1"/>
                <w:color w:val="auto"/>
                <w:w w:val="94"/>
              </w:rPr>
              <w:t>Code</w:t>
            </w:r>
          </w:p>
        </w:tc>
        <w:tc>
          <w:tcPr>
            <w:tcW w:w="420" w:type="dxa"/>
            <w:vAlign w:val="bottom"/>
          </w:tcPr>
          <w:p>
            <w:pPr>
              <w:ind w:left="280"/>
              <w:spacing w:after="0"/>
              <w:rPr>
                <w:sz w:val="20"/>
                <w:szCs w:val="20"/>
                <w:color w:val="auto"/>
              </w:rPr>
            </w:pPr>
            <w:r>
              <w:rPr>
                <w:rFonts w:ascii="Arial" w:cs="Arial" w:eastAsia="Arial" w:hAnsi="Arial"/>
                <w:sz w:val="11"/>
                <w:szCs w:val="11"/>
                <w:b w:val="1"/>
                <w:bCs w:val="1"/>
                <w:color w:val="auto"/>
              </w:rPr>
              <w:t>V</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(A)  (D)</w:t>
            </w: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Symbotic</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(1)(2)(3)</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2,000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13"/>
                <w:szCs w:val="13"/>
                <w:color w:val="0000FF"/>
              </w:rPr>
              <w:t>By Inlet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Holdings</w:t>
            </w: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(1)(2)</w:t>
            </w:r>
          </w:p>
        </w:tc>
        <w:tc>
          <w:tcPr>
            <w:tcW w:w="1020" w:type="dxa"/>
            <w:vAlign w:val="bottom"/>
            <w:vMerge w:val="restart"/>
          </w:tcPr>
          <w:p>
            <w:pPr>
              <w:jc w:val="right"/>
              <w:ind w:right="141"/>
              <w:spacing w:after="0" w:line="139" w:lineRule="exact"/>
              <w:rPr>
                <w:sz w:val="20"/>
                <w:szCs w:val="20"/>
                <w:color w:val="auto"/>
              </w:rPr>
            </w:pPr>
            <w:r>
              <w:rPr>
                <w:rFonts w:ascii="Times New Roman" w:cs="Times New Roman" w:eastAsia="Times New Roman" w:hAnsi="Times New Roman"/>
                <w:sz w:val="13"/>
                <w:szCs w:val="13"/>
                <w:color w:val="0000FF"/>
              </w:rPr>
              <w:t>06/01/2026</w:t>
            </w: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gridSpan w:val="2"/>
            <w:vMerge w:val="restart"/>
          </w:tcPr>
          <w:p>
            <w:pPr>
              <w:ind w:left="360"/>
              <w:spacing w:after="0" w:line="139" w:lineRule="exact"/>
              <w:rPr>
                <w:sz w:val="20"/>
                <w:szCs w:val="20"/>
                <w:color w:val="auto"/>
              </w:rPr>
            </w:pPr>
            <w:r>
              <w:rPr>
                <w:rFonts w:ascii="Times New Roman" w:cs="Times New Roman" w:eastAsia="Times New Roman" w:hAnsi="Times New Roman"/>
                <w:sz w:val="13"/>
                <w:szCs w:val="13"/>
                <w:color w:val="0000FF"/>
                <w:w w:val="88"/>
              </w:rPr>
              <w:t>2,000</w:t>
            </w:r>
          </w:p>
        </w:tc>
        <w:tc>
          <w:tcPr>
            <w:tcW w:w="340" w:type="dxa"/>
            <w:vAlign w:val="bottom"/>
          </w:tcPr>
          <w:p>
            <w:pPr>
              <w:spacing w:after="0"/>
              <w:rPr>
                <w:sz w:val="5"/>
                <w:szCs w:val="5"/>
                <w:color w:val="auto"/>
              </w:rPr>
            </w:pPr>
          </w:p>
        </w:tc>
        <w:tc>
          <w:tcPr>
            <w:tcW w:w="480" w:type="dxa"/>
            <w:vAlign w:val="bottom"/>
            <w:vMerge w:val="restart"/>
          </w:tcPr>
          <w:p>
            <w:pPr>
              <w:jc w:val="center"/>
              <w:ind w:right="186"/>
              <w:spacing w:after="0"/>
              <w:rPr>
                <w:sz w:val="20"/>
                <w:szCs w:val="20"/>
                <w:color w:val="auto"/>
              </w:rPr>
            </w:pPr>
            <w:r>
              <w:rPr>
                <w:rFonts w:ascii="Times New Roman" w:cs="Times New Roman" w:eastAsia="Times New Roman" w:hAnsi="Times New Roman"/>
                <w:sz w:val="11"/>
                <w:szCs w:val="11"/>
                <w:color w:val="008000"/>
                <w:w w:val="93"/>
              </w:rPr>
              <w:t>(1)(2)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560" w:type="dxa"/>
            <w:vAlign w:val="bottom"/>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color w:val="008000"/>
              </w:rPr>
              <w:t>(1)(2)</w:t>
            </w:r>
          </w:p>
        </w:tc>
        <w:tc>
          <w:tcPr>
            <w:tcW w:w="820" w:type="dxa"/>
            <w:vAlign w:val="bottom"/>
            <w:gridSpan w:val="2"/>
            <w:vMerge w:val="restart"/>
          </w:tcPr>
          <w:p>
            <w:pPr>
              <w:ind w:left="200"/>
              <w:spacing w:after="0" w:line="139" w:lineRule="exact"/>
              <w:rPr>
                <w:sz w:val="20"/>
                <w:szCs w:val="20"/>
                <w:color w:val="auto"/>
              </w:rPr>
            </w:pPr>
            <w:r>
              <w:rPr>
                <w:rFonts w:ascii="Times New Roman" w:cs="Times New Roman" w:eastAsia="Times New Roman" w:hAnsi="Times New Roman"/>
                <w:sz w:val="13"/>
                <w:szCs w:val="13"/>
                <w:color w:val="0000FF"/>
              </w:rPr>
              <w:t>532,002</w:t>
            </w:r>
          </w:p>
        </w:tc>
        <w:tc>
          <w:tcPr>
            <w:tcW w:w="620" w:type="dxa"/>
            <w:vAlign w:val="bottom"/>
            <w:vMerge w:val="restart"/>
          </w:tcPr>
          <w:p>
            <w:pPr>
              <w:jc w:val="center"/>
              <w:ind w:left="109"/>
              <w:spacing w:after="0" w:line="139" w:lineRule="exact"/>
              <w:rPr>
                <w:sz w:val="20"/>
                <w:szCs w:val="20"/>
                <w:color w:val="auto"/>
              </w:rPr>
            </w:pPr>
            <w:r>
              <w:rPr>
                <w:rFonts w:ascii="Times New Roman" w:cs="Times New Roman" w:eastAsia="Times New Roman" w:hAnsi="Times New Roman"/>
                <w:sz w:val="13"/>
                <w:szCs w:val="13"/>
                <w:color w:val="0000FF"/>
                <w:w w:val="91"/>
              </w:rPr>
              <w:t>I</w:t>
            </w:r>
          </w:p>
        </w:tc>
        <w:tc>
          <w:tcPr>
            <w:tcW w:w="200" w:type="dxa"/>
            <w:vAlign w:val="bottom"/>
          </w:tcPr>
          <w:p>
            <w:pPr>
              <w:spacing w:after="0"/>
              <w:rPr>
                <w:sz w:val="5"/>
                <w:szCs w:val="5"/>
                <w:color w:val="auto"/>
              </w:rPr>
            </w:pPr>
          </w:p>
        </w:tc>
        <w:tc>
          <w:tcPr>
            <w:tcW w:w="80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ind w:left="520"/>
              <w:spacing w:after="0" w:line="81" w:lineRule="exact"/>
              <w:rPr>
                <w:sz w:val="20"/>
                <w:szCs w:val="20"/>
                <w:color w:val="auto"/>
              </w:rPr>
            </w:pPr>
            <w:r>
              <w:rPr>
                <w:rFonts w:ascii="Times New Roman" w:cs="Times New Roman" w:eastAsia="Times New Roman" w:hAnsi="Times New Roman"/>
                <w:sz w:val="9"/>
                <w:szCs w:val="9"/>
                <w:color w:val="008000"/>
              </w:rPr>
              <w:t>(4)</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60" w:type="dxa"/>
            <w:vAlign w:val="bottom"/>
            <w:tcBorders>
              <w:bottom w:val="single" w:sz="8" w:color="2C2C2C"/>
            </w:tcBorders>
          </w:tcPr>
          <w:p>
            <w:pPr>
              <w:ind w:left="60"/>
              <w:spacing w:after="0" w:line="228" w:lineRule="exact"/>
              <w:rPr>
                <w:sz w:val="20"/>
                <w:szCs w:val="20"/>
                <w:color w:val="auto"/>
              </w:rPr>
            </w:pPr>
            <w:r>
              <w:rPr>
                <w:rFonts w:ascii="Times New Roman" w:cs="Times New Roman" w:eastAsia="Times New Roman" w:hAnsi="Times New Roman"/>
                <w:sz w:val="25"/>
                <w:szCs w:val="25"/>
                <w:color w:val="0000FF"/>
                <w:w w:val="91"/>
                <w:vertAlign w:val="subscript"/>
              </w:rPr>
              <w:t>Units</w:t>
            </w:r>
            <w:r>
              <w:rPr>
                <w:rFonts w:ascii="Times New Roman" w:cs="Times New Roman" w:eastAsia="Times New Roman" w:hAnsi="Times New Roman"/>
                <w:sz w:val="11"/>
                <w:szCs w:val="11"/>
                <w:color w:val="008000"/>
                <w:w w:val="91"/>
              </w:rPr>
              <w:t>(1)(2)(3)</w:t>
            </w:r>
          </w:p>
        </w:tc>
        <w:tc>
          <w:tcPr>
            <w:tcW w:w="76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11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right w:val="single" w:sz="8" w:color="2C2C2C"/>
            </w:tcBorders>
            <w:gridSpan w:val="3"/>
          </w:tcPr>
          <w:p>
            <w:pPr>
              <w:spacing w:after="0"/>
              <w:rPr>
                <w:sz w:val="20"/>
                <w:szCs w:val="20"/>
                <w:color w:val="auto"/>
              </w:rPr>
            </w:pPr>
            <w:r>
              <w:rPr>
                <w:rFonts w:ascii="Times New Roman" w:cs="Times New Roman" w:eastAsia="Times New Roman" w:hAnsi="Times New Roman"/>
                <w:sz w:val="13"/>
                <w:szCs w:val="13"/>
                <w:color w:val="0000FF"/>
              </w:rPr>
              <w:t>View, Inc.</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Symbotic</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194,036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Holdings</w:t>
            </w:r>
          </w:p>
        </w:tc>
        <w:tc>
          <w:tcPr>
            <w:tcW w:w="76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(1)(2)</w:t>
            </w:r>
          </w:p>
        </w:tc>
        <w:tc>
          <w:tcPr>
            <w:tcW w:w="1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jc w:val="center"/>
              <w:ind w:right="186"/>
              <w:spacing w:after="0"/>
              <w:rPr>
                <w:sz w:val="20"/>
                <w:szCs w:val="20"/>
                <w:color w:val="auto"/>
              </w:rPr>
            </w:pPr>
            <w:r>
              <w:rPr>
                <w:rFonts w:ascii="Times New Roman" w:cs="Times New Roman" w:eastAsia="Times New Roman" w:hAnsi="Times New Roman"/>
                <w:sz w:val="11"/>
                <w:szCs w:val="11"/>
                <w:color w:val="008000"/>
                <w:w w:val="93"/>
              </w:rPr>
              <w:t>(1)(2)</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56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gridSpan w:val="2"/>
          </w:tcPr>
          <w:p>
            <w:pPr>
              <w:ind w:left="200"/>
              <w:spacing w:after="0" w:line="139" w:lineRule="exact"/>
              <w:rPr>
                <w:sz w:val="20"/>
                <w:szCs w:val="20"/>
                <w:color w:val="auto"/>
              </w:rPr>
            </w:pPr>
            <w:r>
              <w:rPr>
                <w:rFonts w:ascii="Times New Roman" w:cs="Times New Roman" w:eastAsia="Times New Roman" w:hAnsi="Times New Roman"/>
                <w:sz w:val="13"/>
                <w:szCs w:val="13"/>
                <w:color w:val="0000FF"/>
              </w:rPr>
              <w:t>177,036</w:t>
            </w:r>
          </w:p>
        </w:tc>
        <w:tc>
          <w:tcPr>
            <w:tcW w:w="620" w:type="dxa"/>
            <w:vAlign w:val="bottom"/>
          </w:tcPr>
          <w:p>
            <w:pPr>
              <w:jc w:val="center"/>
              <w:ind w:left="109"/>
              <w:spacing w:after="0" w:line="139" w:lineRule="exact"/>
              <w:rPr>
                <w:sz w:val="20"/>
                <w:szCs w:val="20"/>
                <w:color w:val="auto"/>
              </w:rPr>
            </w:pPr>
            <w:r>
              <w:rPr>
                <w:rFonts w:ascii="Times New Roman" w:cs="Times New Roman" w:eastAsia="Times New Roman" w:hAnsi="Times New Roman"/>
                <w:sz w:val="13"/>
                <w:szCs w:val="13"/>
                <w:color w:val="0000FF"/>
                <w:w w:val="84"/>
              </w:rPr>
              <w:t>D</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60" w:type="dxa"/>
            <w:vAlign w:val="bottom"/>
            <w:tcBorders>
              <w:bottom w:val="single" w:sz="8" w:color="2C2C2C"/>
            </w:tcBorders>
          </w:tcPr>
          <w:p>
            <w:pPr>
              <w:ind w:left="60"/>
              <w:spacing w:after="0" w:line="228" w:lineRule="exact"/>
              <w:rPr>
                <w:sz w:val="20"/>
                <w:szCs w:val="20"/>
                <w:color w:val="auto"/>
              </w:rPr>
            </w:pPr>
            <w:r>
              <w:rPr>
                <w:rFonts w:ascii="Times New Roman" w:cs="Times New Roman" w:eastAsia="Times New Roman" w:hAnsi="Times New Roman"/>
                <w:sz w:val="25"/>
                <w:szCs w:val="25"/>
                <w:color w:val="0000FF"/>
                <w:vertAlign w:val="subscript"/>
              </w:rPr>
              <w:t>Units</w:t>
            </w:r>
            <w:r>
              <w:rPr>
                <w:rFonts w:ascii="Times New Roman" w:cs="Times New Roman" w:eastAsia="Times New Roman" w:hAnsi="Times New Roman"/>
                <w:sz w:val="11"/>
                <w:szCs w:val="11"/>
                <w:color w:val="008000"/>
              </w:rPr>
              <w:t>(1)(2)</w:t>
            </w:r>
          </w:p>
        </w:tc>
        <w:tc>
          <w:tcPr>
            <w:tcW w:w="76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11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Symbotic</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180,000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13"/>
                <w:szCs w:val="13"/>
                <w:color w:val="0000FF"/>
                <w:w w:val="95"/>
              </w:rPr>
              <w:t>By Spouse</w:t>
            </w:r>
            <w:r>
              <w:rPr>
                <w:rFonts w:ascii="Times New Roman" w:cs="Times New Roman" w:eastAsia="Times New Roman" w:hAnsi="Times New Roman"/>
                <w:sz w:val="21"/>
                <w:szCs w:val="21"/>
                <w:color w:val="008000"/>
                <w:w w:val="95"/>
                <w:vertAlign w:val="superscript"/>
              </w:rPr>
              <w:t>(10)</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Holdings</w:t>
            </w: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(1)(2)</w:t>
            </w:r>
          </w:p>
        </w:tc>
        <w:tc>
          <w:tcPr>
            <w:tcW w:w="10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vMerge w:val="restart"/>
          </w:tcPr>
          <w:p>
            <w:pPr>
              <w:jc w:val="center"/>
              <w:ind w:right="186"/>
              <w:spacing w:after="0"/>
              <w:rPr>
                <w:sz w:val="20"/>
                <w:szCs w:val="20"/>
                <w:color w:val="auto"/>
              </w:rPr>
            </w:pPr>
            <w:r>
              <w:rPr>
                <w:rFonts w:ascii="Times New Roman" w:cs="Times New Roman" w:eastAsia="Times New Roman" w:hAnsi="Times New Roman"/>
                <w:sz w:val="11"/>
                <w:szCs w:val="11"/>
                <w:color w:val="008000"/>
                <w:w w:val="93"/>
              </w:rPr>
              <w:t>(1)(2)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5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180,000</w:t>
            </w:r>
          </w:p>
        </w:tc>
        <w:tc>
          <w:tcPr>
            <w:tcW w:w="620" w:type="dxa"/>
            <w:vAlign w:val="bottom"/>
            <w:vMerge w:val="restart"/>
          </w:tcPr>
          <w:p>
            <w:pPr>
              <w:jc w:val="center"/>
              <w:ind w:left="109"/>
              <w:spacing w:after="0"/>
              <w:rPr>
                <w:sz w:val="20"/>
                <w:szCs w:val="20"/>
                <w:color w:val="auto"/>
              </w:rPr>
            </w:pPr>
            <w:r>
              <w:rPr>
                <w:rFonts w:ascii="Times New Roman" w:cs="Times New Roman" w:eastAsia="Times New Roman" w:hAnsi="Times New Roman"/>
                <w:sz w:val="13"/>
                <w:szCs w:val="13"/>
                <w:color w:val="0000FF"/>
                <w:w w:val="91"/>
              </w:rPr>
              <w:t>I</w:t>
            </w:r>
          </w:p>
        </w:tc>
        <w:tc>
          <w:tcPr>
            <w:tcW w:w="200" w:type="dxa"/>
            <w:vAlign w:val="bottom"/>
          </w:tcPr>
          <w:p>
            <w:pPr>
              <w:spacing w:after="0"/>
              <w:rPr>
                <w:sz w:val="6"/>
                <w:szCs w:val="6"/>
                <w:color w:val="auto"/>
              </w:rPr>
            </w:pPr>
          </w:p>
        </w:tc>
        <w:tc>
          <w:tcPr>
            <w:tcW w:w="80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tcPr>
          <w:p>
            <w:pPr>
              <w:ind w:left="80"/>
              <w:spacing w:after="0" w:line="114" w:lineRule="exact"/>
              <w:rPr>
                <w:sz w:val="20"/>
                <w:szCs w:val="20"/>
                <w:color w:val="auto"/>
              </w:rPr>
            </w:pPr>
            <w:r>
              <w:rPr>
                <w:rFonts w:ascii="Times New Roman" w:cs="Times New Roman" w:eastAsia="Times New Roman" w:hAnsi="Times New Roman"/>
                <w:sz w:val="13"/>
                <w:szCs w:val="13"/>
                <w:color w:val="0000FF"/>
                <w:w w:val="94"/>
              </w:rPr>
              <w:t>Common</w:t>
            </w:r>
          </w:p>
        </w:tc>
        <w:tc>
          <w:tcPr>
            <w:tcW w:w="7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line="114" w:lineRule="exact"/>
              <w:rPr>
                <w:sz w:val="20"/>
                <w:szCs w:val="20"/>
                <w:color w:val="auto"/>
              </w:rPr>
            </w:pPr>
            <w:r>
              <w:rPr>
                <w:rFonts w:ascii="Times New Roman" w:cs="Times New Roman" w:eastAsia="Times New Roman" w:hAnsi="Times New Roman"/>
                <w:sz w:val="11"/>
                <w:szCs w:val="11"/>
                <w:color w:val="008000"/>
              </w:rPr>
              <w:t>(11)</w:t>
            </w: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ind w:left="60"/>
              <w:spacing w:after="0" w:line="177" w:lineRule="exact"/>
              <w:rPr>
                <w:sz w:val="20"/>
                <w:szCs w:val="20"/>
                <w:color w:val="auto"/>
              </w:rPr>
            </w:pPr>
            <w:r>
              <w:rPr>
                <w:rFonts w:ascii="Times New Roman" w:cs="Times New Roman" w:eastAsia="Times New Roman" w:hAnsi="Times New Roman"/>
                <w:sz w:val="20"/>
                <w:szCs w:val="20"/>
                <w:color w:val="0000FF"/>
                <w:vertAlign w:val="subscript"/>
              </w:rPr>
              <w:t>Units</w:t>
            </w:r>
            <w:r>
              <w:rPr>
                <w:rFonts w:ascii="Times New Roman" w:cs="Times New Roman" w:eastAsia="Times New Roman" w:hAnsi="Times New Roman"/>
                <w:sz w:val="9"/>
                <w:szCs w:val="9"/>
                <w:color w:val="008000"/>
              </w:rPr>
              <w:t>(1)(2)</w:t>
            </w:r>
          </w:p>
        </w:tc>
        <w:tc>
          <w:tcPr>
            <w:tcW w:w="760" w:type="dxa"/>
            <w:vAlign w:val="bottom"/>
            <w:tcBorders>
              <w:bottom w:val="single" w:sz="8" w:color="2C2C2C"/>
            </w:tcBorders>
          </w:tcPr>
          <w:p>
            <w:pPr>
              <w:spacing w:after="0"/>
              <w:rPr>
                <w:sz w:val="15"/>
                <w:szCs w:val="15"/>
                <w:color w:val="auto"/>
              </w:rPr>
            </w:pPr>
          </w:p>
        </w:tc>
        <w:tc>
          <w:tcPr>
            <w:tcW w:w="10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-2713355</wp:posOffset>
            </wp:positionV>
            <wp:extent cx="28575" cy="27190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71907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Class V-1 Common Stock of the Issuer have no economic rights and each share of Class V-1 Common Stock entitles its holder to 1 vote per share.</w:t>
      </w:r>
    </w:p>
    <w:p>
      <w:pPr>
        <w:spacing w:after="0" w:line="40" w:lineRule="exact"/>
        <w:rPr>
          <w:rFonts w:ascii="Times New Roman" w:cs="Times New Roman" w:eastAsia="Times New Roman" w:hAnsi="Times New Roman"/>
          <w:sz w:val="13"/>
          <w:szCs w:val="13"/>
          <w:color w:val="008000"/>
        </w:rPr>
      </w:pPr>
    </w:p>
    <w:p>
      <w:pPr>
        <w:ind w:left="40" w:right="180" w:hanging="1"/>
        <w:spacing w:after="0" w:line="265"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term "Symbotic Holdings Units" is used herein to represent limited liability company units of Symbotic Holdings LLC ("Symbotic Holdings") and an equal number of paired shares of Class V-1 Common Stock of the Issuer, which, pursuant to the limited liability company agreement of Symbotic Holdings, are redeemable by the holder on a one-for-one basis for a share of Class A Common Stock of the Issuer, subject to conversion rate adjustments for stock splits, stock dividends, reclassification and other similar transactions, and in accordance with other terms and conditions set forth in Symbotic Holdings' Second Amended</w:t>
      </w:r>
    </w:p>
    <w:p>
      <w:pPr>
        <w:sectPr>
          <w:pgSz w:w="11900" w:h="16902" w:orient="portrait"/>
          <w:cols w:equalWidth="0" w:num="1">
            <w:col w:w="11080"/>
          </w:cols>
          <w:pgMar w:left="460" w:top="216" w:right="359" w:bottom="0" w:gutter="0" w:footer="0" w:header="0"/>
          <w:type w:val="continuous"/>
        </w:sectPr>
      </w:pPr>
    </w:p>
    <w:bookmarkStart w:id="1" w:name="page2"/>
    <w:bookmarkEnd w:id="1"/>
    <w:p>
      <w:pPr>
        <w:ind w:left="1"/>
        <w:spacing w:after="0" w:line="248" w:lineRule="auto"/>
        <w:rPr>
          <w:sz w:val="20"/>
          <w:szCs w:val="20"/>
          <w:color w:val="auto"/>
        </w:rPr>
      </w:pPr>
      <w:r>
        <w:rPr>
          <w:rFonts w:ascii="Times New Roman" w:cs="Times New Roman" w:eastAsia="Times New Roman" w:hAnsi="Times New Roman"/>
          <w:sz w:val="13"/>
          <w:szCs w:val="13"/>
          <w:color w:val="008000"/>
        </w:rPr>
        <w:t>and Restated Limited Liability Company Agreement, dated as of June 7, 2022. Upon redemption, the Issuer will cancel the Symbotic Holdings Units and cancel and retire for no consideration the redeemed shares of Class V-1 Common Stock.</w:t>
      </w:r>
    </w:p>
    <w:p>
      <w:pPr>
        <w:spacing w:after="0" w:line="20" w:lineRule="exact"/>
        <w:rPr>
          <w:sz w:val="20"/>
          <w:szCs w:val="20"/>
          <w:color w:val="auto"/>
        </w:rPr>
      </w:pPr>
    </w:p>
    <w:p>
      <w:pPr>
        <w:ind w:left="1" w:right="100" w:hanging="1"/>
        <w:spacing w:after="0" w:line="233"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 2026, the Reporting Person sold 2,000 shares of Class A Common Stock pursuant to a trading plan entered into by the Reporting Person on December 8, 2025, in accordance with Rule 10b5-1 of the Securities Exchange Act of 1934, as amended (the "Stock Sale"). In connection with the Stock Sale and pursuant to the terms of the trading plan, effective June 1, 2026, the Reporting Person redeemed 2,000 Symbotic Holdings Units in exchange for an equal number of shares of Class A Common Stock (the "Redemption"). In connection with the Redemption, Symbotic Holdings canceled the Symbotic Holdings Units, and the Issuer canceled and retired for no consideration the redeemed 2,000 shares of Class V-1 Common Stock.</w:t>
      </w:r>
    </w:p>
    <w:p>
      <w:pPr>
        <w:spacing w:after="0" w:line="27" w:lineRule="exact"/>
        <w:rPr>
          <w:rFonts w:ascii="Times New Roman" w:cs="Times New Roman" w:eastAsia="Times New Roman" w:hAnsi="Times New Roman"/>
          <w:sz w:val="13"/>
          <w:szCs w:val="13"/>
          <w:color w:val="008000"/>
        </w:rPr>
      </w:pPr>
    </w:p>
    <w:p>
      <w:pPr>
        <w:ind w:left="1" w:right="340" w:hanging="1"/>
        <w:spacing w:after="0" w:line="248"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Todd Krasnow may be considered the beneficial owner of securities held by Inlet View, Inc., of which Mr. Krasnow is the President and CEO. Mr. Krasnow disclaims beneficial ownership of such securities except to the extent of his pecuniary interest therein.</w:t>
      </w:r>
    </w:p>
    <w:p>
      <w:pPr>
        <w:spacing w:after="0" w:line="20" w:lineRule="exact"/>
        <w:rPr>
          <w:rFonts w:ascii="Times New Roman" w:cs="Times New Roman" w:eastAsia="Times New Roman" w:hAnsi="Times New Roman"/>
          <w:sz w:val="13"/>
          <w:szCs w:val="13"/>
          <w:color w:val="008000"/>
        </w:rPr>
      </w:pPr>
    </w:p>
    <w:p>
      <w:pPr>
        <w:ind w:left="121" w:hanging="121"/>
        <w:spacing w:after="0"/>
        <w:tabs>
          <w:tab w:leader="none" w:pos="12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pursuant to a trading plan entered into by the Reporting Person on Decmeber 8, 2025, in accordance with Rule 10b5-1 of the Securities Exchange Act of 1934, as amended.</w:t>
      </w:r>
    </w:p>
    <w:p>
      <w:pPr>
        <w:spacing w:after="0" w:line="40" w:lineRule="exact"/>
        <w:rPr>
          <w:rFonts w:ascii="Times New Roman" w:cs="Times New Roman" w:eastAsia="Times New Roman" w:hAnsi="Times New Roman"/>
          <w:sz w:val="13"/>
          <w:szCs w:val="13"/>
          <w:color w:val="008000"/>
        </w:rPr>
      </w:pPr>
    </w:p>
    <w:p>
      <w:pPr>
        <w:jc w:val="both"/>
        <w:ind w:left="1" w:right="60" w:hanging="1"/>
        <w:spacing w:after="0" w:line="237"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SEC guidance authorizing aggregate reporting of same-day purchases and sales, the shares were sold in multiple transactions at prices ranging from $45.46 to $46.44,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1" w:hanging="1"/>
        <w:spacing w:after="0" w:line="237"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SEC guidance authorizing aggregate reporting of same-day purchases and sales, the shares were sold in multiple transactions at prices ranging from $46.465 to $47.455,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jc w:val="both"/>
        <w:ind w:left="1" w:right="60" w:hanging="1"/>
        <w:spacing w:after="0" w:line="237"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SEC guidance authorizing aggregate reporting of same-day purchases and sales, the shares were sold in multiple transactions at prices ranging from $47.46 to $48.38,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jc w:val="both"/>
        <w:ind w:left="1" w:hanging="1"/>
        <w:spacing w:after="0" w:line="237"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Krasnow may be considered the beneficial owner of 20,000 shares of Class A Common Stock held by the Krasnow Family 2019 Charitable Remainder Trust and 20,000 shares of Class A Common Stock held by the Todd and Deborah Krasnow CRUT, both of which are trusts for which Mr. Krasnow is trustee and to which Mr. Krasnow is a beneficiary. Mr. Krasnow disclaims beneficial ownership of such securities except to the extent of his pecuniary interest therein.</w:t>
      </w:r>
    </w:p>
    <w:p>
      <w:pPr>
        <w:spacing w:after="0" w:line="25" w:lineRule="exact"/>
        <w:rPr>
          <w:rFonts w:ascii="Times New Roman" w:cs="Times New Roman" w:eastAsia="Times New Roman" w:hAnsi="Times New Roman"/>
          <w:sz w:val="13"/>
          <w:szCs w:val="13"/>
          <w:color w:val="008000"/>
        </w:rPr>
      </w:pPr>
    </w:p>
    <w:p>
      <w:pPr>
        <w:ind w:left="1" w:right="120" w:hanging="1"/>
        <w:spacing w:after="0" w:line="237" w:lineRule="auto"/>
        <w:tabs>
          <w:tab w:leader="none" w:pos="19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30,000 Symbotic Holdings Units and an equal number of paired shares of Class V-1 common stock held by the Reporting Person's spouse and (ii) 150,000 Symbotic Holdings Units and an equal number of paired shares of Class V-1 common stock held by the Todd J. Krasnow 2024 Irrevocable Trust, in which the Reporting Person's spouse acts as trustee and to which members of the Reporting Person's immediate family have a pecuniary interest.</w:t>
      </w:r>
    </w:p>
    <w:p>
      <w:pPr>
        <w:spacing w:after="0" w:line="25" w:lineRule="exact"/>
        <w:rPr>
          <w:rFonts w:ascii="Times New Roman" w:cs="Times New Roman" w:eastAsia="Times New Roman" w:hAnsi="Times New Roman"/>
          <w:sz w:val="13"/>
          <w:szCs w:val="13"/>
          <w:color w:val="008000"/>
        </w:rPr>
      </w:pPr>
    </w:p>
    <w:p>
      <w:pPr>
        <w:ind w:left="1" w:right="20" w:hanging="1"/>
        <w:spacing w:after="0" w:line="237" w:lineRule="auto"/>
        <w:tabs>
          <w:tab w:leader="none" w:pos="186"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 securities held by his spouse. The Reporting Person does not have voting or investment control over the securities held by the Todd J. Krasnow 2024 Irrevocable Trust and disclaims beneficial ownership of such securities except to the extent that the Reporting Person may be considered to have an indirect pecuniary interest therein. This report shall not be deemed an admission that the Reporting Person is the beneficial owner of the spouse's securities or the securities held by the trust for purposes of Section 16 or for any other purpose.</w:t>
      </w:r>
    </w:p>
    <w:p>
      <w:pPr>
        <w:spacing w:after="0" w:line="2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Remarks:</w:t>
      </w:r>
    </w:p>
    <w:p>
      <w:pPr>
        <w:ind w:left="6561"/>
        <w:spacing w:after="0" w:line="230" w:lineRule="auto"/>
        <w:rPr>
          <w:sz w:val="20"/>
          <w:szCs w:val="20"/>
          <w:color w:val="auto"/>
        </w:rPr>
      </w:pPr>
      <w:r>
        <w:rPr>
          <w:rFonts w:ascii="Times New Roman" w:cs="Times New Roman" w:eastAsia="Times New Roman" w:hAnsi="Times New Roman"/>
          <w:sz w:val="16"/>
          <w:szCs w:val="16"/>
          <w:color w:val="0000FF"/>
        </w:rPr>
        <w:t xml:space="preserve">/s/ Corey Dufresne, Attorney-in- </w:t>
      </w:r>
      <w:r>
        <w:rPr>
          <w:rFonts w:ascii="Times New Roman" w:cs="Times New Roman" w:eastAsia="Times New Roman" w:hAnsi="Times New Roman"/>
          <w:sz w:val="32"/>
          <w:szCs w:val="32"/>
          <w:color w:val="0000FF"/>
          <w:vertAlign w:val="subscript"/>
        </w:rPr>
        <w:t>06/03/2026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-26035</wp:posOffset>
            </wp:positionV>
            <wp:extent cx="1363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Fact for Todd Krasnow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-15240</wp:posOffset>
            </wp:positionV>
            <wp:extent cx="9709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70915" cy="8255"/>
                    </a:xfrm>
                    <a:prstGeom prst="rect">
                      <a:avLst/>
                    </a:prstGeom>
                    <a:noFill/>
                  </pic:spPr>
                </pic:pic>
              </a:graphicData>
            </a:graphic>
          </wp:anchor>
        </w:drawing>
        <w:drawing>
          <wp:anchor simplePos="0" relativeHeight="251657728" behindDoc="1" locked="0" layoutInCell="0" allowOverlap="1">
            <wp:simplePos x="0" y="0"/>
            <wp:positionH relativeFrom="column">
              <wp:posOffset>5563870</wp:posOffset>
            </wp:positionH>
            <wp:positionV relativeFrom="paragraph">
              <wp:posOffset>-79375</wp:posOffset>
            </wp:positionV>
            <wp:extent cx="4762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31" w:lineRule="exact"/>
        <w:rPr>
          <w:sz w:val="20"/>
          <w:szCs w:val="20"/>
          <w:color w:val="auto"/>
        </w:rPr>
      </w:pPr>
    </w:p>
    <w:p>
      <w:pPr>
        <w:ind w:left="6561"/>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3580" w:hanging="1"/>
        <w:spacing w:after="0" w:line="330"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1"/>
      </w:cols>
      <w:pgMar w:left="499"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26378" TargetMode="External"/><Relationship Id="rId14" Type="http://schemas.openxmlformats.org/officeDocument/2006/relationships/hyperlink" Target="http://www.sec.gov/cgi-bin/browse-edgar?action=getcompany&amp;CIK=00018372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2026-06-03T18:13:20Z</dcterms:created>
  <dcterms:modified xsi:type="dcterms:W3CDTF">2026-06-03T18:13:20Z</dcterms:modified>
</cp:coreProperties>
</file>