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958048.xml.htm"/>
      <w:bookmarkStart w:id="1" w:name="kswkform4_17879580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Ross Andrew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SYMBOTIC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RESEARCH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Symbotic Inc.</w:t>
              </w:r>
            </w:hyperlink>
            <w:r>
              <w:rPr/>
              <w:t xml:space="preserve"> [ </w:t>
            </w:r>
            <w:r>
              <w:rPr>
                <w:rFonts w:ascii="Times;serif" w:hAnsi="Times;serif"/>
                <w:color w:val="0000FF"/>
                <w:sz w:val="24"/>
                <w:shd w:fill="FFFFFF" w:val="clear"/>
              </w:rPr>
              <w:t>SYM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2,568</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7,672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2,568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5,137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Class A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August 26, 2025, the Reporting Person was granted 7,705 restricted stock units that vest as follows: 1/3 of the restricted stock units vest on each of August 26, 2026, August 26, 2027 and August 26, 2028, subject to the Reporting Person continued service with the Issuer on the applicable vesting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Corey Dufresne, as Attorney-in-Fact for Andrew D. Ross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4099" TargetMode="External"/><Relationship Id="rId5" Type="http://schemas.openxmlformats.org/officeDocument/2006/relationships/hyperlink" Target="http://www.sec.gov/cgi-bin/browse-edgar?action=getcompany&amp;CIK=00018372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673</Words>
  <Characters>3583</Characters>
  <CharactersWithSpaces>4174</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