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200660</wp:posOffset>
            </wp:positionH>
            <wp:positionV relativeFrom="page">
              <wp:posOffset>946150</wp:posOffset>
            </wp:positionV>
            <wp:extent cx="714692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pacing w:after="0" w:line="286"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36"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2515235</wp:posOffset>
            </wp:positionH>
            <wp:positionV relativeFrom="paragraph">
              <wp:posOffset>224790</wp:posOffset>
            </wp:positionV>
            <wp:extent cx="21196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9630" cy="7620"/>
                    </a:xfrm>
                    <a:prstGeom prst="rect">
                      <a:avLst/>
                    </a:prstGeom>
                    <a:noFill/>
                  </pic:spPr>
                </pic:pic>
              </a:graphicData>
            </a:graphic>
          </wp:anchor>
        </w:drawing>
      </w:r>
    </w:p>
    <w:p>
      <w:pPr>
        <w:spacing w:after="0" w:line="35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9"/>
          <w:szCs w:val="29"/>
          <w:b w:val="1"/>
          <w:bCs w:val="1"/>
          <w:color w:val="auto"/>
        </w:rPr>
        <w:t>FORM 10-Q/A</w:t>
      </w:r>
    </w:p>
    <w:p>
      <w:pPr>
        <w:spacing w:after="0" w:line="50"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2515235</wp:posOffset>
            </wp:positionH>
            <wp:positionV relativeFrom="paragraph">
              <wp:posOffset>36195</wp:posOffset>
            </wp:positionV>
            <wp:extent cx="211963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9630" cy="762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2" w:lineRule="exact"/>
        <w:rPr>
          <w:sz w:val="24"/>
          <w:szCs w:val="24"/>
          <w:color w:val="auto"/>
        </w:rPr>
      </w:pPr>
    </w:p>
    <w:p>
      <w:pPr>
        <w:ind w:left="1000" w:hanging="600"/>
        <w:spacing w:after="0"/>
        <w:tabs>
          <w:tab w:leader="none" w:pos="10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7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For the quarterly period ended December 30, 2023</w:t>
      </w:r>
    </w:p>
    <w:p>
      <w:pPr>
        <w:spacing w:after="0" w:line="90"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67" w:lineRule="exact"/>
        <w:rPr>
          <w:sz w:val="24"/>
          <w:szCs w:val="24"/>
          <w:color w:val="auto"/>
        </w:rPr>
      </w:pPr>
    </w:p>
    <w:p>
      <w:pPr>
        <w:ind w:left="4240" w:right="1420" w:hanging="3840"/>
        <w:spacing w:after="0" w:line="506" w:lineRule="auto"/>
        <w:tabs>
          <w:tab w:leader="none" w:pos="1002"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 to</w:t>
      </w:r>
    </w:p>
    <w:p>
      <w:pPr>
        <w:spacing w:after="0" w:line="128" w:lineRule="exact"/>
        <w:rPr>
          <w:sz w:val="24"/>
          <w:szCs w:val="24"/>
          <w:color w:val="auto"/>
        </w:rPr>
      </w:pPr>
    </w:p>
    <w:tbl>
      <w:tblPr>
        <w:tblLayout w:type="fixed"/>
        <w:tblInd w:w="120" w:type="dxa"/>
        <w:tblCellMar>
          <w:top w:w="0" w:type="dxa"/>
          <w:left w:w="0" w:type="dxa"/>
          <w:bottom w:w="0" w:type="dxa"/>
          <w:right w:w="0" w:type="dxa"/>
        </w:tblCellMar>
      </w:tblPr>
      <w:tr>
        <w:trPr>
          <w:trHeight w:val="211"/>
        </w:trPr>
        <w:tc>
          <w:tcPr>
            <w:tcW w:w="3080" w:type="dxa"/>
            <w:vAlign w:val="bottom"/>
          </w:tcPr>
          <w:p>
            <w:pPr>
              <w:spacing w:after="0"/>
              <w:rPr>
                <w:sz w:val="18"/>
                <w:szCs w:val="18"/>
                <w:color w:val="auto"/>
              </w:rPr>
            </w:pPr>
          </w:p>
        </w:tc>
        <w:tc>
          <w:tcPr>
            <w:tcW w:w="7400" w:type="dxa"/>
            <w:vAlign w:val="bottom"/>
          </w:tcPr>
          <w:p>
            <w:pPr>
              <w:jc w:val="center"/>
              <w:ind w:right="2450"/>
              <w:spacing w:after="0"/>
              <w:rPr>
                <w:sz w:val="20"/>
                <w:szCs w:val="20"/>
                <w:color w:val="auto"/>
              </w:rPr>
            </w:pPr>
            <w:r>
              <w:rPr>
                <w:rFonts w:ascii="Times New Roman" w:cs="Times New Roman" w:eastAsia="Times New Roman" w:hAnsi="Times New Roman"/>
                <w:sz w:val="16"/>
                <w:szCs w:val="16"/>
                <w:b w:val="1"/>
                <w:bCs w:val="1"/>
                <w:color w:val="auto"/>
              </w:rPr>
              <w:t>Commission file number 001-40175</w:t>
            </w:r>
          </w:p>
        </w:tc>
      </w:tr>
      <w:tr>
        <w:trPr>
          <w:trHeight w:val="775"/>
        </w:trPr>
        <w:tc>
          <w:tcPr>
            <w:tcW w:w="3080" w:type="dxa"/>
            <w:vAlign w:val="bottom"/>
          </w:tcPr>
          <w:p>
            <w:pPr>
              <w:spacing w:after="0"/>
              <w:rPr>
                <w:sz w:val="24"/>
                <w:szCs w:val="24"/>
                <w:color w:val="auto"/>
              </w:rPr>
            </w:pPr>
          </w:p>
        </w:tc>
        <w:tc>
          <w:tcPr>
            <w:tcW w:w="7400" w:type="dxa"/>
            <w:vAlign w:val="bottom"/>
          </w:tcPr>
          <w:p>
            <w:pPr>
              <w:jc w:val="center"/>
              <w:ind w:right="2470"/>
              <w:spacing w:after="0"/>
              <w:rPr>
                <w:sz w:val="20"/>
                <w:szCs w:val="20"/>
                <w:color w:val="auto"/>
              </w:rPr>
            </w:pPr>
            <w:r>
              <w:rPr>
                <w:rFonts w:ascii="Times New Roman" w:cs="Times New Roman" w:eastAsia="Times New Roman" w:hAnsi="Times New Roman"/>
                <w:sz w:val="29"/>
                <w:szCs w:val="29"/>
                <w:b w:val="1"/>
                <w:bCs w:val="1"/>
                <w:color w:val="auto"/>
                <w:w w:val="99"/>
              </w:rPr>
              <w:t>SYMBOTIC INC.</w:t>
            </w:r>
          </w:p>
        </w:tc>
      </w:tr>
      <w:tr>
        <w:trPr>
          <w:trHeight w:val="297"/>
        </w:trPr>
        <w:tc>
          <w:tcPr>
            <w:tcW w:w="3080" w:type="dxa"/>
            <w:vAlign w:val="bottom"/>
          </w:tcPr>
          <w:p>
            <w:pPr>
              <w:spacing w:after="0"/>
              <w:rPr>
                <w:sz w:val="24"/>
                <w:szCs w:val="24"/>
                <w:color w:val="auto"/>
              </w:rPr>
            </w:pPr>
          </w:p>
        </w:tc>
        <w:tc>
          <w:tcPr>
            <w:tcW w:w="7400" w:type="dxa"/>
            <w:vAlign w:val="bottom"/>
          </w:tcPr>
          <w:p>
            <w:pPr>
              <w:jc w:val="center"/>
              <w:ind w:right="245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319"/>
        </w:trPr>
        <w:tc>
          <w:tcPr>
            <w:tcW w:w="308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7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98-1572401</w:t>
            </w:r>
          </w:p>
        </w:tc>
      </w:tr>
      <w:tr>
        <w:trPr>
          <w:trHeight w:val="223"/>
        </w:trPr>
        <w:tc>
          <w:tcPr>
            <w:tcW w:w="3080" w:type="dxa"/>
            <w:vAlign w:val="bottom"/>
          </w:tcPr>
          <w:p>
            <w:pPr>
              <w:jc w:val="center"/>
              <w:ind w:right="57"/>
              <w:spacing w:after="0"/>
              <w:rPr>
                <w:sz w:val="20"/>
                <w:szCs w:val="20"/>
                <w:color w:val="auto"/>
              </w:rPr>
            </w:pPr>
            <w:r>
              <w:rPr>
                <w:rFonts w:ascii="Times New Roman" w:cs="Times New Roman" w:eastAsia="Times New Roman" w:hAnsi="Times New Roman"/>
                <w:sz w:val="16"/>
                <w:szCs w:val="16"/>
                <w:color w:val="auto"/>
              </w:rPr>
              <w:t>(State or other jurisdiction of incorporation or</w:t>
            </w:r>
          </w:p>
        </w:tc>
        <w:tc>
          <w:tcPr>
            <w:tcW w:w="7400" w:type="dxa"/>
            <w:vAlign w:val="bottom"/>
          </w:tcPr>
          <w:p>
            <w:pPr>
              <w:jc w:val="center"/>
              <w:ind w:left="497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09"/>
        </w:trPr>
        <w:tc>
          <w:tcPr>
            <w:tcW w:w="3080" w:type="dxa"/>
            <w:vAlign w:val="bottom"/>
          </w:tcPr>
          <w:p>
            <w:pPr>
              <w:jc w:val="center"/>
              <w:ind w:right="57"/>
              <w:spacing w:after="0"/>
              <w:rPr>
                <w:sz w:val="20"/>
                <w:szCs w:val="20"/>
                <w:color w:val="auto"/>
              </w:rPr>
            </w:pPr>
            <w:r>
              <w:rPr>
                <w:rFonts w:ascii="Times New Roman" w:cs="Times New Roman" w:eastAsia="Times New Roman" w:hAnsi="Times New Roman"/>
                <w:sz w:val="16"/>
                <w:szCs w:val="16"/>
                <w:color w:val="auto"/>
              </w:rPr>
              <w:t>organization)</w:t>
            </w:r>
          </w:p>
        </w:tc>
        <w:tc>
          <w:tcPr>
            <w:tcW w:w="7400" w:type="dxa"/>
            <w:vAlign w:val="bottom"/>
          </w:tcPr>
          <w:p>
            <w:pPr>
              <w:spacing w:after="0"/>
              <w:rPr>
                <w:sz w:val="18"/>
                <w:szCs w:val="18"/>
                <w:color w:val="auto"/>
              </w:rPr>
            </w:pPr>
          </w:p>
        </w:tc>
      </w:tr>
      <w:tr>
        <w:trPr>
          <w:trHeight w:val="262"/>
        </w:trPr>
        <w:tc>
          <w:tcPr>
            <w:tcW w:w="3080" w:type="dxa"/>
            <w:vAlign w:val="bottom"/>
          </w:tcPr>
          <w:p>
            <w:pPr>
              <w:spacing w:after="0"/>
              <w:rPr>
                <w:sz w:val="22"/>
                <w:szCs w:val="22"/>
                <w:color w:val="auto"/>
              </w:rPr>
            </w:pPr>
          </w:p>
        </w:tc>
        <w:tc>
          <w:tcPr>
            <w:tcW w:w="7400" w:type="dxa"/>
            <w:vAlign w:val="bottom"/>
          </w:tcPr>
          <w:p>
            <w:pPr>
              <w:jc w:val="center"/>
              <w:ind w:right="2470"/>
              <w:spacing w:after="0"/>
              <w:rPr>
                <w:sz w:val="20"/>
                <w:szCs w:val="20"/>
                <w:color w:val="auto"/>
              </w:rPr>
            </w:pPr>
            <w:r>
              <w:rPr>
                <w:rFonts w:ascii="Times New Roman" w:cs="Times New Roman" w:eastAsia="Times New Roman" w:hAnsi="Times New Roman"/>
                <w:sz w:val="18"/>
                <w:szCs w:val="18"/>
                <w:b w:val="1"/>
                <w:bCs w:val="1"/>
                <w:color w:val="auto"/>
                <w:w w:val="98"/>
              </w:rPr>
              <w:t>200 Research Drive</w:t>
            </w:r>
          </w:p>
        </w:tc>
      </w:tr>
      <w:tr>
        <w:trPr>
          <w:trHeight w:val="217"/>
        </w:trPr>
        <w:tc>
          <w:tcPr>
            <w:tcW w:w="3080" w:type="dxa"/>
            <w:vAlign w:val="bottom"/>
          </w:tcPr>
          <w:p>
            <w:pPr>
              <w:spacing w:after="0"/>
              <w:rPr>
                <w:sz w:val="18"/>
                <w:szCs w:val="18"/>
                <w:color w:val="auto"/>
              </w:rPr>
            </w:pPr>
          </w:p>
        </w:tc>
        <w:tc>
          <w:tcPr>
            <w:tcW w:w="7400" w:type="dxa"/>
            <w:vAlign w:val="bottom"/>
          </w:tcPr>
          <w:p>
            <w:pPr>
              <w:jc w:val="center"/>
              <w:ind w:right="2470"/>
              <w:spacing w:after="0"/>
              <w:rPr>
                <w:sz w:val="20"/>
                <w:szCs w:val="20"/>
                <w:color w:val="auto"/>
              </w:rPr>
            </w:pPr>
            <w:r>
              <w:rPr>
                <w:rFonts w:ascii="Times New Roman" w:cs="Times New Roman" w:eastAsia="Times New Roman" w:hAnsi="Times New Roman"/>
                <w:sz w:val="18"/>
                <w:szCs w:val="18"/>
                <w:b w:val="1"/>
                <w:bCs w:val="1"/>
                <w:color w:val="auto"/>
                <w:w w:val="97"/>
              </w:rPr>
              <w:t>Wilmington, MA 01887</w:t>
            </w:r>
          </w:p>
        </w:tc>
      </w:tr>
      <w:tr>
        <w:trPr>
          <w:trHeight w:val="233"/>
        </w:trPr>
        <w:tc>
          <w:tcPr>
            <w:tcW w:w="3080" w:type="dxa"/>
            <w:vAlign w:val="bottom"/>
          </w:tcPr>
          <w:p>
            <w:pPr>
              <w:spacing w:after="0"/>
              <w:rPr>
                <w:sz w:val="20"/>
                <w:szCs w:val="20"/>
                <w:color w:val="auto"/>
              </w:rPr>
            </w:pPr>
          </w:p>
        </w:tc>
        <w:tc>
          <w:tcPr>
            <w:tcW w:w="7400" w:type="dxa"/>
            <w:vAlign w:val="bottom"/>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7"/>
              </w:rPr>
              <w:t>(978) 284-2800</w:t>
            </w:r>
          </w:p>
        </w:tc>
      </w:tr>
      <w:tr>
        <w:trPr>
          <w:trHeight w:val="231"/>
        </w:trPr>
        <w:tc>
          <w:tcPr>
            <w:tcW w:w="3080" w:type="dxa"/>
            <w:vAlign w:val="bottom"/>
          </w:tcPr>
          <w:p>
            <w:pPr>
              <w:spacing w:after="0"/>
              <w:rPr>
                <w:sz w:val="20"/>
                <w:szCs w:val="20"/>
                <w:color w:val="auto"/>
              </w:rPr>
            </w:pPr>
          </w:p>
        </w:tc>
        <w:tc>
          <w:tcPr>
            <w:tcW w:w="7400" w:type="dxa"/>
            <w:vAlign w:val="bottom"/>
          </w:tcPr>
          <w:p>
            <w:pPr>
              <w:jc w:val="center"/>
              <w:ind w:right="2470"/>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w:t>
            </w:r>
          </w:p>
        </w:tc>
      </w:tr>
      <w:tr>
        <w:trPr>
          <w:trHeight w:val="209"/>
        </w:trPr>
        <w:tc>
          <w:tcPr>
            <w:tcW w:w="3080" w:type="dxa"/>
            <w:vAlign w:val="bottom"/>
          </w:tcPr>
          <w:p>
            <w:pPr>
              <w:spacing w:after="0"/>
              <w:rPr>
                <w:sz w:val="18"/>
                <w:szCs w:val="18"/>
                <w:color w:val="auto"/>
              </w:rPr>
            </w:pPr>
          </w:p>
        </w:tc>
        <w:tc>
          <w:tcPr>
            <w:tcW w:w="7400" w:type="dxa"/>
            <w:vAlign w:val="bottom"/>
          </w:tcPr>
          <w:p>
            <w:pPr>
              <w:jc w:val="center"/>
              <w:ind w:right="2470"/>
              <w:spacing w:after="0"/>
              <w:rPr>
                <w:sz w:val="20"/>
                <w:szCs w:val="20"/>
                <w:color w:val="auto"/>
              </w:rPr>
            </w:pPr>
            <w:r>
              <w:rPr>
                <w:rFonts w:ascii="Times New Roman" w:cs="Times New Roman" w:eastAsia="Times New Roman" w:hAnsi="Times New Roman"/>
                <w:sz w:val="16"/>
                <w:szCs w:val="16"/>
                <w:color w:val="auto"/>
              </w:rPr>
              <w:t>Code, of Registrant’s Principal Executive Offices)</w:t>
            </w:r>
          </w:p>
        </w:tc>
      </w:tr>
    </w:tbl>
    <w:p>
      <w:pPr>
        <w:spacing w:after="0" w:line="307"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7"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956945</wp:posOffset>
            </wp:positionV>
            <wp:extent cx="717232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0600"/>
          </w:cols>
          <w:pgMar w:left="320" w:top="1440" w:right="9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9"/>
        </w:trPr>
        <w:tc>
          <w:tcPr>
            <w:tcW w:w="42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89"/>
        </w:trPr>
        <w:tc>
          <w:tcPr>
            <w:tcW w:w="424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1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Trading Symbol(s)</w:t>
            </w:r>
          </w:p>
        </w:tc>
        <w:tc>
          <w:tcPr>
            <w:tcW w:w="4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6"/>
        </w:trPr>
        <w:tc>
          <w:tcPr>
            <w:tcW w:w="3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09"/>
        </w:trPr>
        <w:tc>
          <w:tcPr>
            <w:tcW w:w="424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21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7"/>
              </w:rPr>
              <w:t>SYM</w:t>
            </w:r>
          </w:p>
        </w:tc>
        <w:tc>
          <w:tcPr>
            <w:tcW w:w="4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5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0"/>
          <w:szCs w:val="20"/>
          <w:color w:val="auto"/>
        </w:rPr>
      </w:pPr>
    </w:p>
    <w:p>
      <w:pPr>
        <w:spacing w:after="0" w:line="184" w:lineRule="exact"/>
        <w:tabs>
          <w:tab w:leader="none" w:pos="460" w:val="left"/>
          <w:tab w:leader="none" w:pos="108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310" w:lineRule="exact"/>
        <w:rPr>
          <w:sz w:val="20"/>
          <w:szCs w:val="20"/>
          <w:color w:val="auto"/>
        </w:rPr>
      </w:pPr>
    </w:p>
    <w:p>
      <w:pPr>
        <w:jc w:val="both"/>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620" w:type="dxa"/>
            <w:vAlign w:val="bottom"/>
          </w:tcPr>
          <w:p>
            <w:pPr>
              <w:ind w:left="1200"/>
              <w:spacing w:after="0" w:line="161" w:lineRule="exact"/>
              <w:rPr>
                <w:sz w:val="20"/>
                <w:szCs w:val="20"/>
                <w:color w:val="auto"/>
              </w:rPr>
            </w:pPr>
            <w:r>
              <w:rPr>
                <w:rFonts w:ascii="MS PGothic" w:cs="MS PGothic" w:eastAsia="MS PGothic" w:hAnsi="MS PGothic"/>
                <w:sz w:val="16"/>
                <w:szCs w:val="16"/>
                <w:color w:val="auto"/>
              </w:rPr>
              <w:t>☐</w:t>
            </w:r>
          </w:p>
        </w:tc>
        <w:tc>
          <w:tcPr>
            <w:tcW w:w="3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Accelerated filer</w:t>
            </w:r>
          </w:p>
        </w:tc>
        <w:tc>
          <w:tcPr>
            <w:tcW w:w="1380" w:type="dxa"/>
            <w:vAlign w:val="bottom"/>
          </w:tcPr>
          <w:p>
            <w:pPr>
              <w:ind w:left="1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7"/>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620" w:type="dxa"/>
            <w:vAlign w:val="bottom"/>
          </w:tcPr>
          <w:p>
            <w:pPr>
              <w:ind w:left="1200"/>
              <w:spacing w:after="0" w:line="161" w:lineRule="exact"/>
              <w:rPr>
                <w:sz w:val="20"/>
                <w:szCs w:val="20"/>
                <w:color w:val="auto"/>
              </w:rPr>
            </w:pPr>
            <w:r>
              <w:rPr>
                <w:rFonts w:ascii="MS PGothic" w:cs="MS PGothic" w:eastAsia="MS PGothic" w:hAnsi="MS PGothic"/>
                <w:sz w:val="16"/>
                <w:szCs w:val="16"/>
                <w:color w:val="auto"/>
              </w:rPr>
              <w:t>☐</w:t>
            </w:r>
          </w:p>
        </w:tc>
        <w:tc>
          <w:tcPr>
            <w:tcW w:w="3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80" w:type="dxa"/>
            <w:vAlign w:val="bottom"/>
          </w:tcPr>
          <w:p>
            <w:pPr>
              <w:ind w:left="1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7"/>
        </w:trPr>
        <w:tc>
          <w:tcPr>
            <w:tcW w:w="2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80" w:type="dxa"/>
            <w:vAlign w:val="bottom"/>
          </w:tcPr>
          <w:p>
            <w:pPr>
              <w:ind w:left="12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40"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5, 2024, the following shares of common stock were outstanding:</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89,060,350 shares of Class A common stock, par value $0.0001 per share</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81,485,643 shares of Class V-1 common stock, par value $0.0001 per share</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406,512,941 shares of Class V-3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967740</wp:posOffset>
            </wp:positionV>
            <wp:extent cx="717232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325" cy="40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100330</wp:posOffset>
            </wp:positionV>
            <wp:extent cx="71469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92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wp:posOffset>
            </wp:positionV>
            <wp:extent cx="71469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1376" w:right="319" w:bottom="1440" w:gutter="0" w:footer="0" w:header="0"/>
        </w:sectPr>
      </w:pPr>
    </w:p>
    <w:bookmarkStart w:id="2" w:name="page3"/>
    <w:bookmarkEnd w:id="2"/>
    <w:p>
      <w:pPr>
        <w:ind w:left="44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6572885" cy="160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2885" cy="160655"/>
                    </a:xfrm>
                    <a:prstGeom prst="rect">
                      <a:avLst/>
                    </a:prstGeom>
                    <a:noFill/>
                  </pic:spPr>
                </pic:pic>
              </a:graphicData>
            </a:graphic>
          </wp:anchor>
        </w:drawing>
      </w:r>
    </w:p>
    <w:p>
      <w:pPr>
        <w:spacing w:after="0" w:line="30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u w:val="single" w:color="auto"/>
          <w:color w:val="0E32E1"/>
        </w:rPr>
        <w:t>Part I - Financial Information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848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Financial Statements (As Restated)</w:t>
            </w:r>
          </w:p>
        </w:tc>
      </w:tr>
      <w:tr>
        <w:trPr>
          <w:trHeight w:val="20"/>
        </w:trPr>
        <w:tc>
          <w:tcPr>
            <w:tcW w:w="9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3"/>
        </w:trPr>
        <w:tc>
          <w:tcPr>
            <w:tcW w:w="980" w:type="dxa"/>
            <w:vAlign w:val="bottom"/>
          </w:tcPr>
          <w:p>
            <w:pPr>
              <w:spacing w:after="0"/>
              <w:rPr>
                <w:sz w:val="20"/>
                <w:szCs w:val="20"/>
                <w:color w:val="auto"/>
              </w:rPr>
            </w:pPr>
          </w:p>
        </w:tc>
        <w:tc>
          <w:tcPr>
            <w:tcW w:w="46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Unaudited Condensed Consolidated Financial Statements (As Restated)</w:t>
            </w:r>
          </w:p>
        </w:tc>
        <w:tc>
          <w:tcPr>
            <w:tcW w:w="3860" w:type="dxa"/>
            <w:vAlign w:val="bottom"/>
            <w:gridSpan w:val="8"/>
          </w:tcPr>
          <w:p>
            <w:pPr>
              <w:spacing w:after="0"/>
              <w:rPr>
                <w:sz w:val="20"/>
                <w:szCs w:val="20"/>
                <w:color w:val="auto"/>
              </w:rPr>
            </w:pPr>
          </w:p>
        </w:tc>
      </w:tr>
      <w:tr>
        <w:trPr>
          <w:trHeight w:val="233"/>
        </w:trPr>
        <w:tc>
          <w:tcPr>
            <w:tcW w:w="980" w:type="dxa"/>
            <w:vAlign w:val="bottom"/>
          </w:tcPr>
          <w:p>
            <w:pPr>
              <w:spacing w:after="0"/>
              <w:rPr>
                <w:sz w:val="20"/>
                <w:szCs w:val="20"/>
                <w:color w:val="auto"/>
              </w:rPr>
            </w:pPr>
          </w:p>
        </w:tc>
        <w:tc>
          <w:tcPr>
            <w:tcW w:w="848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Unaudited Condensed Consolidated Balance Sheets as of December 30, 2023 and September 30, 2023 (As Restated)</w:t>
            </w:r>
          </w:p>
        </w:tc>
      </w:tr>
      <w:tr>
        <w:trPr>
          <w:trHeight w:val="20"/>
        </w:trPr>
        <w:tc>
          <w:tcPr>
            <w:tcW w:w="9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3"/>
        </w:trPr>
        <w:tc>
          <w:tcPr>
            <w:tcW w:w="980" w:type="dxa"/>
            <w:vAlign w:val="bottom"/>
          </w:tcPr>
          <w:p>
            <w:pPr>
              <w:spacing w:after="0"/>
              <w:rPr>
                <w:sz w:val="20"/>
                <w:szCs w:val="20"/>
                <w:color w:val="auto"/>
              </w:rPr>
            </w:pPr>
          </w:p>
        </w:tc>
        <w:tc>
          <w:tcPr>
            <w:tcW w:w="83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Operations for the Three Months Ended December 30, 2023 and December 24,</w:t>
            </w:r>
          </w:p>
        </w:tc>
        <w:tc>
          <w:tcPr>
            <w:tcW w:w="120" w:type="dxa"/>
            <w:vAlign w:val="bottom"/>
            <w:gridSpan w:val="2"/>
          </w:tcPr>
          <w:p>
            <w:pPr>
              <w:spacing w:after="0"/>
              <w:rPr>
                <w:sz w:val="20"/>
                <w:szCs w:val="20"/>
                <w:color w:val="auto"/>
              </w:rPr>
            </w:pPr>
          </w:p>
        </w:tc>
      </w:tr>
      <w:tr>
        <w:trPr>
          <w:trHeight w:val="185"/>
        </w:trPr>
        <w:tc>
          <w:tcPr>
            <w:tcW w:w="980" w:type="dxa"/>
            <w:vAlign w:val="bottom"/>
          </w:tcPr>
          <w:p>
            <w:pPr>
              <w:spacing w:after="0"/>
              <w:rPr>
                <w:sz w:val="16"/>
                <w:szCs w:val="16"/>
                <w:color w:val="auto"/>
              </w:rPr>
            </w:pPr>
          </w:p>
        </w:tc>
        <w:tc>
          <w:tcPr>
            <w:tcW w:w="848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2022 (As Restated)</w:t>
            </w:r>
          </w:p>
        </w:tc>
      </w:tr>
      <w:tr>
        <w:trPr>
          <w:trHeight w:val="20"/>
        </w:trPr>
        <w:tc>
          <w:tcPr>
            <w:tcW w:w="9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1"/>
        </w:trPr>
        <w:tc>
          <w:tcPr>
            <w:tcW w:w="980" w:type="dxa"/>
            <w:vAlign w:val="bottom"/>
          </w:tcPr>
          <w:p>
            <w:pPr>
              <w:spacing w:after="0"/>
              <w:rPr>
                <w:sz w:val="19"/>
                <w:szCs w:val="19"/>
                <w:color w:val="auto"/>
              </w:rPr>
            </w:pPr>
          </w:p>
        </w:tc>
        <w:tc>
          <w:tcPr>
            <w:tcW w:w="80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Comprehensive Loss for the Three Months Ended December 30, 2023 and</w:t>
            </w:r>
          </w:p>
        </w:tc>
        <w:tc>
          <w:tcPr>
            <w:tcW w:w="420" w:type="dxa"/>
            <w:vAlign w:val="bottom"/>
            <w:gridSpan w:val="3"/>
          </w:tcPr>
          <w:p>
            <w:pPr>
              <w:spacing w:after="0"/>
              <w:rPr>
                <w:sz w:val="19"/>
                <w:szCs w:val="19"/>
                <w:color w:val="auto"/>
              </w:rPr>
            </w:pPr>
          </w:p>
        </w:tc>
      </w:tr>
      <w:tr>
        <w:trPr>
          <w:trHeight w:val="185"/>
        </w:trPr>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34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December 24, 2022 (As Restated)</w:t>
            </w: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1"/>
        </w:trPr>
        <w:tc>
          <w:tcPr>
            <w:tcW w:w="980" w:type="dxa"/>
            <w:vAlign w:val="bottom"/>
          </w:tcPr>
          <w:p>
            <w:pPr>
              <w:spacing w:after="0"/>
              <w:rPr>
                <w:sz w:val="19"/>
                <w:szCs w:val="19"/>
                <w:color w:val="auto"/>
              </w:rPr>
            </w:pPr>
          </w:p>
        </w:tc>
        <w:tc>
          <w:tcPr>
            <w:tcW w:w="84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Changes in Equity (Deficit) for the Three Months Ended December 30, 2023 and</w:t>
            </w:r>
          </w:p>
        </w:tc>
      </w:tr>
      <w:tr>
        <w:trPr>
          <w:trHeight w:val="185"/>
        </w:trPr>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34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December 24, 2022 (As Restated)</w:t>
            </w: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1"/>
        </w:trPr>
        <w:tc>
          <w:tcPr>
            <w:tcW w:w="980" w:type="dxa"/>
            <w:vAlign w:val="bottom"/>
          </w:tcPr>
          <w:p>
            <w:pPr>
              <w:spacing w:after="0"/>
              <w:rPr>
                <w:sz w:val="19"/>
                <w:szCs w:val="19"/>
                <w:color w:val="auto"/>
              </w:rPr>
            </w:pPr>
          </w:p>
        </w:tc>
        <w:tc>
          <w:tcPr>
            <w:tcW w:w="848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Cash Flows for the Three Months Ended December 30, 2023 and December 24,</w:t>
            </w:r>
          </w:p>
        </w:tc>
      </w:tr>
      <w:tr>
        <w:trPr>
          <w:trHeight w:val="185"/>
        </w:trPr>
        <w:tc>
          <w:tcPr>
            <w:tcW w:w="98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26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2022 (As Restated)</w:t>
            </w:r>
          </w:p>
        </w:tc>
        <w:tc>
          <w:tcPr>
            <w:tcW w:w="80" w:type="dxa"/>
            <w:vAlign w:val="bottom"/>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r>
      <w:tr>
        <w:trPr>
          <w:trHeight w:val="221"/>
        </w:trPr>
        <w:tc>
          <w:tcPr>
            <w:tcW w:w="980" w:type="dxa"/>
            <w:vAlign w:val="bottom"/>
          </w:tcPr>
          <w:p>
            <w:pPr>
              <w:spacing w:after="0"/>
              <w:rPr>
                <w:sz w:val="19"/>
                <w:szCs w:val="19"/>
                <w:color w:val="auto"/>
              </w:rPr>
            </w:pPr>
          </w:p>
        </w:tc>
        <w:tc>
          <w:tcPr>
            <w:tcW w:w="52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Notes to Unaudited Condensed Consolidated Financial Statements (As Restated)</w:t>
            </w:r>
          </w:p>
        </w:tc>
        <w:tc>
          <w:tcPr>
            <w:tcW w:w="3280" w:type="dxa"/>
            <w:vAlign w:val="bottom"/>
            <w:gridSpan w:val="7"/>
          </w:tcPr>
          <w:p>
            <w:pPr>
              <w:spacing w:after="0"/>
              <w:rPr>
                <w:sz w:val="19"/>
                <w:szCs w:val="19"/>
                <w:color w:val="auto"/>
              </w:rPr>
            </w:pP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8480" w:type="dxa"/>
            <w:vAlign w:val="bottom"/>
            <w:gridSpan w:val="23"/>
          </w:tcPr>
          <w:p>
            <w:pPr>
              <w:spacing w:after="0"/>
              <w:rPr>
                <w:sz w:val="20"/>
                <w:szCs w:val="20"/>
                <w:color w:val="auto"/>
              </w:rPr>
            </w:pPr>
            <w:r>
              <w:rPr>
                <w:rFonts w:ascii="Times New Roman" w:cs="Times New Roman" w:eastAsia="Times New Roman" w:hAnsi="Times New Roman"/>
                <w:sz w:val="16"/>
                <w:szCs w:val="16"/>
                <w:color w:val="0E32E1"/>
              </w:rPr>
              <w:t>Management’s Discussion and Analysis of Financial Condition and Results of Operations</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3900" w:type="dxa"/>
            <w:vAlign w:val="bottom"/>
            <w:tcBorders>
              <w:top w:val="single" w:sz="8" w:color="0E32E1"/>
              <w:bottom w:val="single" w:sz="8" w:color="0E32E1"/>
            </w:tcBorders>
            <w:gridSpan w:val="14"/>
          </w:tcPr>
          <w:p>
            <w:pPr>
              <w:spacing w:after="0"/>
              <w:rPr>
                <w:sz w:val="20"/>
                <w:szCs w:val="20"/>
                <w:color w:val="auto"/>
              </w:rPr>
            </w:pPr>
            <w:r>
              <w:rPr>
                <w:rFonts w:ascii="Times New Roman" w:cs="Times New Roman" w:eastAsia="Times New Roman" w:hAnsi="Times New Roman"/>
                <w:sz w:val="16"/>
                <w:szCs w:val="16"/>
                <w:color w:val="0E32E1"/>
              </w:rPr>
              <w:t>Quantitative and Qualitative Disclosures About Market Risk</w:t>
            </w:r>
          </w:p>
        </w:tc>
        <w:tc>
          <w:tcPr>
            <w:tcW w:w="1860" w:type="dxa"/>
            <w:vAlign w:val="bottom"/>
            <w:tcBorders>
              <w:top w:val="single" w:sz="8" w:color="0E32E1"/>
            </w:tcBorders>
            <w:gridSpan w:val="4"/>
          </w:tcPr>
          <w:p>
            <w:pPr>
              <w:spacing w:after="0"/>
              <w:rPr>
                <w:sz w:val="20"/>
                <w:szCs w:val="20"/>
                <w:color w:val="auto"/>
              </w:rPr>
            </w:pPr>
          </w:p>
        </w:tc>
        <w:tc>
          <w:tcPr>
            <w:tcW w:w="2720" w:type="dxa"/>
            <w:vAlign w:val="bottom"/>
            <w:gridSpan w:val="5"/>
          </w:tcPr>
          <w:p>
            <w:pPr>
              <w:spacing w:after="0"/>
              <w:rPr>
                <w:sz w:val="20"/>
                <w:szCs w:val="20"/>
                <w:color w:val="auto"/>
              </w:rPr>
            </w:pP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8480" w:type="dxa"/>
            <w:vAlign w:val="bottom"/>
            <w:gridSpan w:val="23"/>
          </w:tcPr>
          <w:p>
            <w:pPr>
              <w:spacing w:after="0"/>
              <w:rPr>
                <w:sz w:val="20"/>
                <w:szCs w:val="20"/>
                <w:color w:val="auto"/>
              </w:rPr>
            </w:pPr>
            <w:r>
              <w:rPr>
                <w:rFonts w:ascii="Times New Roman" w:cs="Times New Roman" w:eastAsia="Times New Roman" w:hAnsi="Times New Roman"/>
                <w:sz w:val="16"/>
                <w:szCs w:val="16"/>
                <w:color w:val="0E32E1"/>
              </w:rPr>
              <w:t>Controls and Procedures</w:t>
            </w:r>
          </w:p>
        </w:tc>
      </w:tr>
      <w:tr>
        <w:trPr>
          <w:trHeight w:val="233"/>
        </w:trPr>
        <w:tc>
          <w:tcPr>
            <w:tcW w:w="980" w:type="dxa"/>
            <w:vAlign w:val="bottom"/>
          </w:tcPr>
          <w:p>
            <w:pPr>
              <w:spacing w:after="0"/>
              <w:rPr>
                <w:sz w:val="20"/>
                <w:szCs w:val="20"/>
                <w:color w:val="auto"/>
              </w:rPr>
            </w:pPr>
          </w:p>
        </w:tc>
        <w:tc>
          <w:tcPr>
            <w:tcW w:w="140" w:type="dxa"/>
            <w:vAlign w:val="bottom"/>
            <w:tcBorders>
              <w:top w:val="single" w:sz="8" w:color="0E32E1"/>
            </w:tcBorders>
          </w:tcPr>
          <w:p>
            <w:pPr>
              <w:spacing w:after="0"/>
              <w:rPr>
                <w:sz w:val="20"/>
                <w:szCs w:val="20"/>
                <w:color w:val="auto"/>
              </w:rPr>
            </w:pPr>
          </w:p>
        </w:tc>
        <w:tc>
          <w:tcPr>
            <w:tcW w:w="400" w:type="dxa"/>
            <w:vAlign w:val="bottom"/>
            <w:tcBorders>
              <w:top w:val="single" w:sz="8" w:color="0E32E1"/>
            </w:tcBorders>
          </w:tcPr>
          <w:p>
            <w:pPr>
              <w:spacing w:after="0"/>
              <w:rPr>
                <w:sz w:val="20"/>
                <w:szCs w:val="20"/>
                <w:color w:val="auto"/>
              </w:rPr>
            </w:pPr>
          </w:p>
        </w:tc>
        <w:tc>
          <w:tcPr>
            <w:tcW w:w="140" w:type="dxa"/>
            <w:vAlign w:val="bottom"/>
            <w:tcBorders>
              <w:top w:val="single" w:sz="8" w:color="0E32E1"/>
            </w:tcBorders>
          </w:tcPr>
          <w:p>
            <w:pPr>
              <w:spacing w:after="0"/>
              <w:rPr>
                <w:sz w:val="20"/>
                <w:szCs w:val="20"/>
                <w:color w:val="auto"/>
              </w:rPr>
            </w:pPr>
          </w:p>
        </w:tc>
        <w:tc>
          <w:tcPr>
            <w:tcW w:w="140" w:type="dxa"/>
            <w:vAlign w:val="bottom"/>
            <w:tcBorders>
              <w:top w:val="single" w:sz="8" w:color="0E32E1"/>
            </w:tcBorders>
          </w:tcPr>
          <w:p>
            <w:pPr>
              <w:spacing w:after="0"/>
              <w:rPr>
                <w:sz w:val="20"/>
                <w:szCs w:val="20"/>
                <w:color w:val="auto"/>
              </w:rPr>
            </w:pPr>
          </w:p>
        </w:tc>
        <w:tc>
          <w:tcPr>
            <w:tcW w:w="360" w:type="dxa"/>
            <w:vAlign w:val="bottom"/>
            <w:tcBorders>
              <w:top w:val="single" w:sz="8" w:color="0E32E1"/>
            </w:tcBorders>
          </w:tcPr>
          <w:p>
            <w:pPr>
              <w:spacing w:after="0"/>
              <w:rPr>
                <w:sz w:val="20"/>
                <w:szCs w:val="20"/>
                <w:color w:val="auto"/>
              </w:rPr>
            </w:pPr>
          </w:p>
        </w:tc>
        <w:tc>
          <w:tcPr>
            <w:tcW w:w="60" w:type="dxa"/>
            <w:vAlign w:val="bottom"/>
            <w:tcBorders>
              <w:top w:val="single" w:sz="8" w:color="0E32E1"/>
            </w:tcBorders>
          </w:tcPr>
          <w:p>
            <w:pPr>
              <w:spacing w:after="0"/>
              <w:rPr>
                <w:sz w:val="20"/>
                <w:szCs w:val="20"/>
                <w:color w:val="auto"/>
              </w:rPr>
            </w:pPr>
          </w:p>
        </w:tc>
        <w:tc>
          <w:tcPr>
            <w:tcW w:w="140" w:type="dxa"/>
            <w:vAlign w:val="bottom"/>
            <w:tcBorders>
              <w:top w:val="single" w:sz="8" w:color="0E32E1"/>
            </w:tcBorders>
          </w:tcPr>
          <w:p>
            <w:pPr>
              <w:spacing w:after="0"/>
              <w:rPr>
                <w:sz w:val="20"/>
                <w:szCs w:val="20"/>
                <w:color w:val="auto"/>
              </w:rPr>
            </w:pPr>
          </w:p>
        </w:tc>
        <w:tc>
          <w:tcPr>
            <w:tcW w:w="200" w:type="dxa"/>
            <w:vAlign w:val="bottom"/>
            <w:tcBorders>
              <w:top w:val="single" w:sz="8" w:color="0E32E1"/>
            </w:tcBorders>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14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0E32E1"/>
              </w:rPr>
              <w:t>Part II - Other Information</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124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6"/>
                <w:szCs w:val="16"/>
                <w:color w:val="0E32E1"/>
              </w:rPr>
              <w:t>Legal Proceedings</w:t>
            </w:r>
          </w:p>
        </w:tc>
        <w:tc>
          <w:tcPr>
            <w:tcW w:w="2100" w:type="dxa"/>
            <w:vAlign w:val="bottom"/>
            <w:gridSpan w:val="6"/>
          </w:tcPr>
          <w:p>
            <w:pPr>
              <w:spacing w:after="0"/>
              <w:rPr>
                <w:sz w:val="20"/>
                <w:szCs w:val="20"/>
                <w:color w:val="auto"/>
              </w:rPr>
            </w:pPr>
          </w:p>
        </w:tc>
        <w:tc>
          <w:tcPr>
            <w:tcW w:w="1900" w:type="dxa"/>
            <w:vAlign w:val="bottom"/>
            <w:tcBorders>
              <w:top w:val="single" w:sz="8" w:color="0E32E1"/>
            </w:tcBorders>
            <w:gridSpan w:val="5"/>
          </w:tcPr>
          <w:p>
            <w:pPr>
              <w:spacing w:after="0"/>
              <w:rPr>
                <w:sz w:val="20"/>
                <w:szCs w:val="20"/>
                <w:color w:val="auto"/>
              </w:rPr>
            </w:pPr>
          </w:p>
        </w:tc>
        <w:tc>
          <w:tcPr>
            <w:tcW w:w="3240" w:type="dxa"/>
            <w:vAlign w:val="bottom"/>
            <w:gridSpan w:val="6"/>
          </w:tcPr>
          <w:p>
            <w:pPr>
              <w:spacing w:after="0"/>
              <w:rPr>
                <w:sz w:val="20"/>
                <w:szCs w:val="20"/>
                <w:color w:val="auto"/>
              </w:rPr>
            </w:pP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6"/>
                <w:szCs w:val="16"/>
                <w:color w:val="0E32E1"/>
                <w:w w:val="99"/>
              </w:rPr>
              <w:t>Risk Factors</w:t>
            </w:r>
          </w:p>
        </w:tc>
        <w:tc>
          <w:tcPr>
            <w:tcW w:w="7660" w:type="dxa"/>
            <w:vAlign w:val="bottom"/>
            <w:gridSpan w:val="19"/>
          </w:tcPr>
          <w:p>
            <w:pPr>
              <w:spacing w:after="0"/>
              <w:rPr>
                <w:sz w:val="20"/>
                <w:szCs w:val="20"/>
                <w:color w:val="auto"/>
              </w:rPr>
            </w:pP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8480" w:type="dxa"/>
            <w:vAlign w:val="bottom"/>
            <w:gridSpan w:val="23"/>
          </w:tcPr>
          <w:p>
            <w:pPr>
              <w:spacing w:after="0"/>
              <w:rPr>
                <w:sz w:val="20"/>
                <w:szCs w:val="20"/>
                <w:color w:val="auto"/>
              </w:rPr>
            </w:pPr>
            <w:r>
              <w:rPr>
                <w:rFonts w:ascii="Times New Roman" w:cs="Times New Roman" w:eastAsia="Times New Roman" w:hAnsi="Times New Roman"/>
                <w:sz w:val="16"/>
                <w:szCs w:val="16"/>
                <w:color w:val="0E32E1"/>
              </w:rPr>
              <w:t>Unregistered Sales of Equity Securities and Use of Proceeds</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2080" w:type="dxa"/>
            <w:vAlign w:val="bottom"/>
            <w:tcBorders>
              <w:top w:val="single" w:sz="8" w:color="0E32E1"/>
              <w:bottom w:val="single" w:sz="8" w:color="0E32E1"/>
            </w:tcBorders>
            <w:gridSpan w:val="9"/>
          </w:tcPr>
          <w:p>
            <w:pPr>
              <w:spacing w:after="0"/>
              <w:rPr>
                <w:sz w:val="20"/>
                <w:szCs w:val="20"/>
                <w:color w:val="auto"/>
              </w:rPr>
            </w:pPr>
            <w:r>
              <w:rPr>
                <w:rFonts w:ascii="Times New Roman" w:cs="Times New Roman" w:eastAsia="Times New Roman" w:hAnsi="Times New Roman"/>
                <w:sz w:val="16"/>
                <w:szCs w:val="16"/>
                <w:color w:val="0E32E1"/>
                <w:w w:val="99"/>
              </w:rPr>
              <w:t>Defaults Upon Senior Securities</w:t>
            </w:r>
          </w:p>
        </w:tc>
        <w:tc>
          <w:tcPr>
            <w:tcW w:w="1800" w:type="dxa"/>
            <w:vAlign w:val="bottom"/>
            <w:tcBorders>
              <w:top w:val="single" w:sz="8" w:color="0E32E1"/>
            </w:tcBorders>
            <w:gridSpan w:val="4"/>
          </w:tcPr>
          <w:p>
            <w:pPr>
              <w:spacing w:after="0"/>
              <w:rPr>
                <w:sz w:val="20"/>
                <w:szCs w:val="20"/>
                <w:color w:val="auto"/>
              </w:rPr>
            </w:pPr>
          </w:p>
        </w:tc>
        <w:tc>
          <w:tcPr>
            <w:tcW w:w="4600" w:type="dxa"/>
            <w:vAlign w:val="bottom"/>
            <w:gridSpan w:val="10"/>
          </w:tcPr>
          <w:p>
            <w:pPr>
              <w:spacing w:after="0"/>
              <w:rPr>
                <w:sz w:val="20"/>
                <w:szCs w:val="20"/>
                <w:color w:val="auto"/>
              </w:rPr>
            </w:pP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8480" w:type="dxa"/>
            <w:vAlign w:val="bottom"/>
            <w:gridSpan w:val="23"/>
          </w:tcPr>
          <w:p>
            <w:pPr>
              <w:spacing w:after="0"/>
              <w:rPr>
                <w:sz w:val="20"/>
                <w:szCs w:val="20"/>
                <w:color w:val="auto"/>
              </w:rPr>
            </w:pPr>
            <w:r>
              <w:rPr>
                <w:rFonts w:ascii="Times New Roman" w:cs="Times New Roman" w:eastAsia="Times New Roman" w:hAnsi="Times New Roman"/>
                <w:sz w:val="16"/>
                <w:szCs w:val="16"/>
                <w:color w:val="0E32E1"/>
              </w:rPr>
              <w:t>Mine Safety Disclosures</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1180" w:type="dxa"/>
            <w:vAlign w:val="bottom"/>
            <w:tcBorders>
              <w:top w:val="single" w:sz="8" w:color="0E32E1"/>
              <w:bottom w:val="single" w:sz="8" w:color="0E32E1"/>
            </w:tcBorders>
            <w:gridSpan w:val="5"/>
          </w:tcPr>
          <w:p>
            <w:pPr>
              <w:spacing w:after="0"/>
              <w:rPr>
                <w:sz w:val="20"/>
                <w:szCs w:val="20"/>
                <w:color w:val="auto"/>
              </w:rPr>
            </w:pPr>
            <w:r>
              <w:rPr>
                <w:rFonts w:ascii="Times New Roman" w:cs="Times New Roman" w:eastAsia="Times New Roman" w:hAnsi="Times New Roman"/>
                <w:sz w:val="16"/>
                <w:szCs w:val="16"/>
                <w:color w:val="0E32E1"/>
                <w:w w:val="99"/>
              </w:rPr>
              <w:t>Other Information</w:t>
            </w:r>
          </w:p>
        </w:tc>
        <w:tc>
          <w:tcPr>
            <w:tcW w:w="400" w:type="dxa"/>
            <w:vAlign w:val="bottom"/>
            <w:tcBorders>
              <w:top w:val="single" w:sz="8" w:color="0E32E1"/>
            </w:tcBorders>
            <w:gridSpan w:val="3"/>
          </w:tcPr>
          <w:p>
            <w:pPr>
              <w:spacing w:after="0"/>
              <w:rPr>
                <w:sz w:val="20"/>
                <w:szCs w:val="20"/>
                <w:color w:val="auto"/>
              </w:rPr>
            </w:pPr>
          </w:p>
        </w:tc>
        <w:tc>
          <w:tcPr>
            <w:tcW w:w="6900" w:type="dxa"/>
            <w:vAlign w:val="bottom"/>
            <w:gridSpan w:val="15"/>
          </w:tcPr>
          <w:p>
            <w:pPr>
              <w:spacing w:after="0"/>
              <w:rPr>
                <w:sz w:val="20"/>
                <w:szCs w:val="20"/>
                <w:color w:val="auto"/>
              </w:rPr>
            </w:pP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54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6"/>
                <w:szCs w:val="16"/>
                <w:color w:val="0E32E1"/>
                <w:w w:val="97"/>
              </w:rPr>
              <w:t>Exhibits</w:t>
            </w:r>
          </w:p>
        </w:tc>
        <w:tc>
          <w:tcPr>
            <w:tcW w:w="7940" w:type="dxa"/>
            <w:vAlign w:val="bottom"/>
            <w:gridSpan w:val="21"/>
          </w:tcPr>
          <w:p>
            <w:pPr>
              <w:spacing w:after="0"/>
              <w:rPr>
                <w:sz w:val="20"/>
                <w:szCs w:val="20"/>
                <w:color w:val="auto"/>
              </w:rPr>
            </w:pPr>
          </w:p>
        </w:tc>
      </w:tr>
      <w:tr>
        <w:trPr>
          <w:trHeight w:val="233"/>
        </w:trPr>
        <w:tc>
          <w:tcPr>
            <w:tcW w:w="980" w:type="dxa"/>
            <w:vAlign w:val="bottom"/>
          </w:tcPr>
          <w:p>
            <w:pPr>
              <w:spacing w:after="0"/>
              <w:rPr>
                <w:sz w:val="20"/>
                <w:szCs w:val="20"/>
                <w:color w:val="auto"/>
              </w:rPr>
            </w:pPr>
          </w:p>
        </w:tc>
        <w:tc>
          <w:tcPr>
            <w:tcW w:w="8480" w:type="dxa"/>
            <w:vAlign w:val="bottom"/>
            <w:gridSpan w:val="23"/>
          </w:tcPr>
          <w:p>
            <w:pPr>
              <w:spacing w:after="0"/>
              <w:rPr>
                <w:sz w:val="20"/>
                <w:szCs w:val="20"/>
                <w:color w:val="auto"/>
              </w:rPr>
            </w:pPr>
            <w:r>
              <w:rPr>
                <w:rFonts w:ascii="Times New Roman" w:cs="Times New Roman" w:eastAsia="Times New Roman" w:hAnsi="Times New Roman"/>
                <w:sz w:val="16"/>
                <w:szCs w:val="16"/>
                <w:color w:val="0E32E1"/>
              </w:rPr>
              <w:t>Signatures</w:t>
            </w:r>
          </w:p>
        </w:tc>
      </w:tr>
      <w:tr>
        <w:trPr>
          <w:trHeight w:val="20"/>
        </w:trPr>
        <w:tc>
          <w:tcPr>
            <w:tcW w:w="98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-3503930</wp:posOffset>
            </wp:positionV>
            <wp:extent cx="6572885" cy="160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2885" cy="1606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-3182620</wp:posOffset>
            </wp:positionV>
            <wp:extent cx="6572885" cy="283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2885" cy="2832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-2616200</wp:posOffset>
            </wp:positionV>
            <wp:extent cx="6572885"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2885" cy="2832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-2050415</wp:posOffset>
            </wp:positionV>
            <wp:extent cx="6572885" cy="160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72885" cy="1606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-1728470</wp:posOffset>
            </wp:positionV>
            <wp:extent cx="6572885" cy="160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72885" cy="1606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-1407160</wp:posOffset>
            </wp:positionV>
            <wp:extent cx="6572885" cy="160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72885" cy="1606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-1085850</wp:posOffset>
            </wp:positionV>
            <wp:extent cx="6572885" cy="160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72885" cy="1606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-764540</wp:posOffset>
            </wp:positionV>
            <wp:extent cx="6572885" cy="160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72885" cy="1606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-443230</wp:posOffset>
            </wp:positionV>
            <wp:extent cx="6572885" cy="160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72885" cy="1606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-121920</wp:posOffset>
            </wp:positionV>
            <wp:extent cx="6572885" cy="160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72885" cy="16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64770</wp:posOffset>
            </wp:positionV>
            <wp:extent cx="717232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w:t>
      </w: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w:t>
      </w: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23</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33</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33</w:t>
      </w:r>
    </w:p>
    <w:p>
      <w:pPr>
        <w:spacing w:after="0" w:line="3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34</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34</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36</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36</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36</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36</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37</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2">
            <w:col w:w="9460" w:space="340"/>
            <w:col w:w="520"/>
          </w:cols>
          <w:pgMar w:left="500" w:top="1374" w:right="10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155" w:lineRule="exact"/>
        <w:rPr>
          <w:sz w:val="20"/>
          <w:szCs w:val="20"/>
          <w:color w:val="auto"/>
        </w:rPr>
      </w:pPr>
    </w:p>
    <w:p>
      <w:pPr>
        <w:ind w:firstLine="289"/>
        <w:spacing w:after="0" w:line="259" w:lineRule="auto"/>
        <w:rPr>
          <w:sz w:val="20"/>
          <w:szCs w:val="20"/>
          <w:color w:val="auto"/>
        </w:rPr>
      </w:pPr>
      <w:r>
        <w:rPr>
          <w:rFonts w:ascii="Times New Roman" w:cs="Times New Roman" w:eastAsia="Times New Roman" w:hAnsi="Times New Roman"/>
          <w:sz w:val="16"/>
          <w:szCs w:val="16"/>
          <w:color w:val="auto"/>
        </w:rPr>
        <w:t xml:space="preserve">Symbotic Inc. (the “Company”) is filing this Amendment No. 1 on Form 10-Q (the “Form 10-Q/A” or “Amendment No. 1”) to amend and restate Items 1, 2 and 4 of Part I and Items 1A and 6 of Part II of the Quarterly Report on Form 10-Q for the three months ended December 30, 2023 (the “Restatement”), originally filed with the United States Securities and Exchange Commission (“SEC”) on February 8, 2024 by the Company (the “Original Form 10-Q”). This Form 10-Q/A restates the Company’s previously issued unaudited condensed consolidated financial statements as of and for the three months ended December 30, 2023. See Note 3, </w:t>
      </w:r>
      <w:r>
        <w:rPr>
          <w:rFonts w:ascii="Times New Roman" w:cs="Times New Roman" w:eastAsia="Times New Roman" w:hAnsi="Times New Roman"/>
          <w:sz w:val="16"/>
          <w:szCs w:val="16"/>
          <w:i w:val="1"/>
          <w:iCs w:val="1"/>
          <w:color w:val="auto"/>
        </w:rPr>
        <w:t>Restatement of Previously Issued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Unaudited Condensed Consolidated Financial Statements</w:t>
      </w:r>
      <w:r>
        <w:rPr>
          <w:rFonts w:ascii="Times New Roman" w:cs="Times New Roman" w:eastAsia="Times New Roman" w:hAnsi="Times New Roman"/>
          <w:sz w:val="16"/>
          <w:szCs w:val="16"/>
          <w:color w:val="auto"/>
        </w:rPr>
        <w:t>, in Part I, Item I, Financial Statements,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Restatement Background</w:t>
      </w:r>
    </w:p>
    <w:p>
      <w:pPr>
        <w:spacing w:after="0" w:line="61" w:lineRule="exact"/>
        <w:rPr>
          <w:sz w:val="20"/>
          <w:szCs w:val="20"/>
          <w:color w:val="auto"/>
        </w:rPr>
      </w:pPr>
    </w:p>
    <w:p>
      <w:pPr>
        <w:jc w:val="both"/>
        <w:ind w:right="40" w:firstLine="289"/>
        <w:spacing w:after="0" w:line="259" w:lineRule="auto"/>
        <w:rPr>
          <w:sz w:val="20"/>
          <w:szCs w:val="20"/>
          <w:color w:val="auto"/>
        </w:rPr>
      </w:pPr>
      <w:r>
        <w:rPr>
          <w:rFonts w:ascii="Times New Roman" w:cs="Times New Roman" w:eastAsia="Times New Roman" w:hAnsi="Times New Roman"/>
          <w:sz w:val="16"/>
          <w:szCs w:val="16"/>
          <w:color w:val="auto"/>
        </w:rPr>
        <w:t>As described in Item 4.02 of the Company’s Current Report on Form 8-K filed with the SEC on November 18, 2024, on November 18, 2024, the Audit Committee of the Board of Directors of the Company, after discussions with the Company’s management and its independent registered public accounting firm, determined that the Company’s unaudited condensed consolidated financial statements included in each of the Company’s Quarterly Reports on Form 10-Q for the periods ending December 30, 2023, March 30, 2024 (the “Q2 2024 Form 10-Q”), and June 29, 2024 (the “Q3 2024 Form 10-Q”, and together with the Original Form 10-Q and Q2 2024 Form 10-Q, the “2024 Form 10-Qs”) filed with the SEC on February 8, 2024, May 7, 2024, and July 31, 2024, respectively, should no longer be relied upon.</w:t>
      </w:r>
    </w:p>
    <w:p>
      <w:pPr>
        <w:spacing w:after="0" w:line="19" w:lineRule="exact"/>
        <w:rPr>
          <w:sz w:val="20"/>
          <w:szCs w:val="20"/>
          <w:color w:val="auto"/>
        </w:rPr>
      </w:pPr>
    </w:p>
    <w:p>
      <w:pPr>
        <w:ind w:right="100" w:firstLine="289"/>
        <w:spacing w:after="0" w:line="259" w:lineRule="auto"/>
        <w:rPr>
          <w:sz w:val="20"/>
          <w:szCs w:val="20"/>
          <w:color w:val="auto"/>
        </w:rPr>
      </w:pPr>
      <w:r>
        <w:rPr>
          <w:rFonts w:ascii="Times New Roman" w:cs="Times New Roman" w:eastAsia="Times New Roman" w:hAnsi="Times New Roman"/>
          <w:sz w:val="16"/>
          <w:szCs w:val="16"/>
          <w:color w:val="auto"/>
        </w:rPr>
        <w:t>The restatement of the unaudited condensed consolidated financial statements for the aforementioned periods, is being made in connection with the Company’s identification, during fiscal year 2024, of goods and services, primarily relating to specific milestone achievements, being expensed prior to the time that the corresponding milestones were achieved. This resulted in the acceleration of the recognition of cost of revenue. Given that the Company recognizes revenue on a percentage of completion basis, this resulted in the acceleration of recognition of revenue. Additionally, the Company identified, during fiscal year 2024, a classification error within equity, which was corrected as part of the Restatement.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Items Amended in this Filing</w:t>
      </w:r>
    </w:p>
    <w:p>
      <w:pPr>
        <w:spacing w:after="0" w:line="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This Form 10-Q/A amends and restates the following items included in the Original Form 10-Q as appropriate to reflect the Restatement:</w:t>
      </w:r>
    </w:p>
    <w:p>
      <w:pPr>
        <w:spacing w:after="0" w:line="57" w:lineRule="exact"/>
        <w:rPr>
          <w:sz w:val="20"/>
          <w:szCs w:val="20"/>
          <w:color w:val="auto"/>
        </w:rPr>
      </w:pPr>
    </w:p>
    <w:p>
      <w:pPr>
        <w:ind w:left="580" w:hanging="294"/>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 Item 1. Unaudited Condensed Consolidated Financial Statements;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 Item 2. Management’s Discussion and Analysis of Financial Condition and Results of Operations;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 Item 4. Controls and Procedures;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II, Item 1A. Risk Factors; and</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II, Item 6. Exhibits</w:t>
      </w:r>
    </w:p>
    <w:p>
      <w:pPr>
        <w:spacing w:after="0" w:line="57" w:lineRule="exact"/>
        <w:rPr>
          <w:sz w:val="20"/>
          <w:szCs w:val="20"/>
          <w:color w:val="auto"/>
        </w:rPr>
      </w:pPr>
    </w:p>
    <w:p>
      <w:pPr>
        <w:ind w:right="280" w:firstLine="289"/>
        <w:spacing w:after="0" w:line="282" w:lineRule="auto"/>
        <w:rPr>
          <w:sz w:val="20"/>
          <w:szCs w:val="20"/>
          <w:color w:val="auto"/>
        </w:rPr>
      </w:pPr>
      <w:r>
        <w:rPr>
          <w:rFonts w:ascii="Times New Roman" w:cs="Times New Roman" w:eastAsia="Times New Roman" w:hAnsi="Times New Roman"/>
          <w:sz w:val="16"/>
          <w:szCs w:val="16"/>
          <w:color w:val="auto"/>
        </w:rPr>
        <w:t>The Company is including with this Form 10-Q/A currently dated certifications of the Company’s Chief Executive Officer and Chief Financial Officer, as required by Sections 302 and 906 of the Sarbanes-Oxley Act of 2002.</w:t>
      </w:r>
    </w:p>
    <w:p>
      <w:pPr>
        <w:spacing w:after="0" w:line="1" w:lineRule="exact"/>
        <w:rPr>
          <w:sz w:val="20"/>
          <w:szCs w:val="20"/>
          <w:color w:val="auto"/>
        </w:rPr>
      </w:pPr>
    </w:p>
    <w:p>
      <w:pPr>
        <w:ind w:firstLine="289"/>
        <w:spacing w:after="0" w:line="258" w:lineRule="auto"/>
        <w:rPr>
          <w:sz w:val="20"/>
          <w:szCs w:val="20"/>
          <w:color w:val="auto"/>
        </w:rPr>
      </w:pPr>
      <w:r>
        <w:rPr>
          <w:rFonts w:ascii="Times New Roman" w:cs="Times New Roman" w:eastAsia="Times New Roman" w:hAnsi="Times New Roman"/>
          <w:sz w:val="16"/>
          <w:szCs w:val="16"/>
          <w:color w:val="auto"/>
        </w:rPr>
        <w:t>Except as discussed above and as further described in Note 3 to the Unaudited Condensed Consolidated Financial Statements in this Form 10-Q/A, the Company has not modified or updated the disclosures presented in the Original Form 10-Q to reflect events that occurred at a later date or facts that subsequently became known to the Company. Accordingly, forward-looking statements included in this Amendment No. 1 may represent management’s views as of the Original Form 10-Q and should not be assumed to be accurate as of any date thereafter. Accordingly, this Form 10-Q/A should be read in conjunction with the Company’s filings with the SEC subsequent to the date on which it filed the Original Form 10-Q with the SEC. The check marks on the cover page of this Form 10-Q/A reflect the Company’s filer status as of the date on which it filed the Original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CAUTIONARY NOTE ON FORWARD-LOOKING STATEMENTS</w:t>
      </w:r>
    </w:p>
    <w:p>
      <w:pPr>
        <w:spacing w:after="0" w:line="35" w:lineRule="exact"/>
        <w:rPr>
          <w:sz w:val="20"/>
          <w:szCs w:val="20"/>
          <w:color w:val="auto"/>
        </w:rPr>
      </w:pPr>
    </w:p>
    <w:p>
      <w:pPr>
        <w:ind w:firstLine="289"/>
        <w:spacing w:after="0" w:line="258" w:lineRule="auto"/>
        <w:rPr>
          <w:sz w:val="20"/>
          <w:szCs w:val="20"/>
          <w:color w:val="auto"/>
        </w:rPr>
      </w:pPr>
      <w:r>
        <w:rPr>
          <w:rFonts w:ascii="Times New Roman" w:cs="Times New Roman" w:eastAsia="Times New Roman" w:hAnsi="Times New Roman"/>
          <w:sz w:val="16"/>
          <w:szCs w:val="16"/>
          <w:color w:val="auto"/>
        </w:rPr>
        <w:t>This Quarterly Report on Form 10-Q/A contains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our expectations or predictions of future financial or business performance or conditions. Forward-looking statements are inherently subject to risks, uncertainties and assumptions. Generally, statements that are not historical facts, including statements concerning our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w:t>
      </w:r>
    </w:p>
    <w:p>
      <w:pPr>
        <w:spacing w:after="0" w:line="18" w:lineRule="exact"/>
        <w:rPr>
          <w:sz w:val="20"/>
          <w:szCs w:val="20"/>
          <w:color w:val="auto"/>
        </w:rPr>
      </w:pPr>
    </w:p>
    <w:p>
      <w:pPr>
        <w:ind w:right="160" w:firstLine="289"/>
        <w:spacing w:after="0" w:line="282" w:lineRule="auto"/>
        <w:rPr>
          <w:sz w:val="20"/>
          <w:szCs w:val="20"/>
          <w:color w:val="auto"/>
        </w:rPr>
      </w:pPr>
      <w:r>
        <w:rPr>
          <w:rFonts w:ascii="Times New Roman" w:cs="Times New Roman" w:eastAsia="Times New Roman" w:hAnsi="Times New Roman"/>
          <w:sz w:val="16"/>
          <w:szCs w:val="16"/>
          <w:color w:val="auto"/>
        </w:rPr>
        <w:t>Forward-looking statements contained in this Quarterly Report on Form 10-Q/A include, but are not limited to, statements about our ability to, or expectations that we will:</w:t>
      </w:r>
    </w:p>
    <w:p>
      <w:pPr>
        <w:spacing w:after="0" w:line="1" w:lineRule="exact"/>
        <w:rPr>
          <w:sz w:val="20"/>
          <w:szCs w:val="20"/>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 the technical requirements of existing or future supply agreements with our customers, including with respect to existing backlog;</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our target customer base and maintain our existing customer base;</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 the benefits expected from the GreenBox joint venture and the Commercial Agreement with GreenBox (each as defined herein);</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 industry trends;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and enhance our platform;</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the listing of the Symbotic Class A Common Stock on NASDAQ;</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design, and sell systems that are differentiated from those of competitors;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 our research and development strategy;</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maintain, protect, and enforce intellectual property;</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train, and retain effective officers, key employees, or directors;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laws and regulations applicable to our business;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stay abreast of modified or new laws and regulations applicable to our business;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 our growth strategy;</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defend litigation;</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equity securities in connection with future transactions;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 future liquidity requirements and, if applicable, comply with restrictive covenants related to long-term indebtedness;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timely and effectively remediate any material weaknesses in our internal control over financial reporting;</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 rapid technological changes; and</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respond to general economic and business conditions</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Forward-looking statements made in this Quarterly Report on Form 10-Q/A also include, but are not limited to, statements with respect to:</w:t>
      </w:r>
    </w:p>
    <w:p>
      <w:pPr>
        <w:spacing w:after="0" w:line="57" w:lineRule="exact"/>
        <w:rPr>
          <w:sz w:val="20"/>
          <w:szCs w:val="20"/>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performance of our business and operations;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expectations regarding revenues, expenses, Adjusted EBITDA and anticipated cash needs;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expectations regarding cash flow, liquidity and sources of funding;</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expectations regarding capital expenditures;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anticipated benefits of Symbotic’s leadership structure;</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pending and future legislation;</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disruption;</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to the business due to our dependency on certain customers;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competition in the warehouse automation industry;</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delays in the design, production or launch of our systems and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140"/>
          </w:cols>
          <w:pgMar w:left="320" w:top="1314" w:right="439" w:bottom="1440" w:gutter="0" w:footer="0" w:header="0"/>
        </w:sectPr>
      </w:pPr>
    </w:p>
    <w:bookmarkStart w:id="5" w:name="page6"/>
    <w:bookmarkEnd w:id="5"/>
    <w:p>
      <w:pPr>
        <w:ind w:left="580" w:hanging="294"/>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meet customers' requirements under existing or future contracts or customer's expectations as to price or pricing structure;</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defects in new products or enhancements to existing products; and</w:t>
      </w:r>
    </w:p>
    <w:p>
      <w:pPr>
        <w:spacing w:after="0" w:line="57" w:lineRule="exact"/>
        <w:rPr>
          <w:rFonts w:ascii="Times New Roman" w:cs="Times New Roman" w:eastAsia="Times New Roman" w:hAnsi="Times New Roman"/>
          <w:sz w:val="16"/>
          <w:szCs w:val="16"/>
          <w:color w:val="auto"/>
        </w:rPr>
      </w:pPr>
    </w:p>
    <w:p>
      <w:pPr>
        <w:ind w:left="580" w:right="200" w:hanging="294"/>
        <w:spacing w:after="0" w:line="282" w:lineRule="auto"/>
        <w:tabs>
          <w:tab w:leader="none" w:pos="57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fluctuation of operating results from period to period due to a number of factors, including the pace of customer adoption of our new products and services and any changes in our product mix that shift too far into lower gross margin products.</w:t>
      </w:r>
    </w:p>
    <w:p>
      <w:pPr>
        <w:spacing w:after="0" w:line="1" w:lineRule="exact"/>
        <w:rPr>
          <w:sz w:val="20"/>
          <w:szCs w:val="20"/>
          <w:color w:val="auto"/>
        </w:rPr>
      </w:pPr>
    </w:p>
    <w:p>
      <w:pPr>
        <w:ind w:right="60" w:firstLine="289"/>
        <w:spacing w:after="0" w:line="255" w:lineRule="auto"/>
        <w:rPr>
          <w:sz w:val="20"/>
          <w:szCs w:val="20"/>
          <w:color w:val="auto"/>
        </w:rPr>
      </w:pPr>
      <w:r>
        <w:rPr>
          <w:rFonts w:ascii="Times New Roman" w:cs="Times New Roman" w:eastAsia="Times New Roman" w:hAnsi="Times New Roman"/>
          <w:sz w:val="16"/>
          <w:szCs w:val="16"/>
          <w:color w:val="auto"/>
        </w:rPr>
        <w:t>Such forward-looking statements involve risks and uncertainties that may cause actual events, results or performance to differ materially from those indicated by such statements. Certain of these risks are identified and discussed in other sections of this Quarterly Report on Form 10-Q/A and in our Annual Report on Form 10-K filed with the U.S. Securities and Exchange Commission (“SEC”) on December 11, 2023. These risk factors will be important to consider in determining future results and should be reviewed in their entirety. These forward-looking statements are expressed in good faith, and we believe there is a reasonable basis for them. However, there can be no assurance that the events, results or trends identified in these forward-looking statements will occur or be achieved. 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w:t>
      </w:r>
    </w:p>
    <w:p>
      <w:pPr>
        <w:spacing w:after="0" w:line="21" w:lineRule="exact"/>
        <w:rPr>
          <w:sz w:val="20"/>
          <w:szCs w:val="20"/>
          <w:color w:val="auto"/>
        </w:rPr>
      </w:pPr>
    </w:p>
    <w:p>
      <w:pPr>
        <w:ind w:firstLine="289"/>
        <w:spacing w:after="0" w:line="262" w:lineRule="auto"/>
        <w:rPr>
          <w:sz w:val="20"/>
          <w:szCs w:val="20"/>
          <w:color w:val="auto"/>
        </w:rPr>
      </w:pPr>
      <w:r>
        <w:rPr>
          <w:rFonts w:ascii="Times New Roman" w:cs="Times New Roman" w:eastAsia="Times New Roman" w:hAnsi="Times New Roman"/>
          <w:sz w:val="16"/>
          <w:szCs w:val="16"/>
          <w:color w:val="auto"/>
        </w:rPr>
        <w:t>The forward-looking statements made in this Quarterly Report on Form 10-Q/A relate only to events as of the date on which the statements are made and are based on the beliefs, estimates, expectations and opinions of management on that date. We are not under any obligation, and expressly disclaim any obligation, to update, alter or otherwise revise any forward-looking statements made in this Quarterly Report on Form 10-Q/A, whether as a result of new information, future events or otherwise, except as required by law.</w:t>
      </w:r>
    </w:p>
    <w:p>
      <w:pPr>
        <w:spacing w:after="0" w:line="1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In addition to factors previously disclosed in our Annual Report on Form 10-K filed with the SEC on December 11, 2023, and those identified elsewhere in this Quarterly Report on Form 10-Q/A, the following factors, among others, could cause actual results to differ materially from forward-looking statements or historical performance: failure to realize the benefits expected from adding to Symbotic’s base of outsourcing partners and the effects of pending and future legislation.</w:t>
      </w:r>
    </w:p>
    <w:p>
      <w:pPr>
        <w:spacing w:after="0" w:line="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Annualized and estimated numbers are not forecasts and may not reflect actual results.</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this Quarterly Report on Form 10-Q/A, the terms “Symbotic,” “we,” “us,” and “our” refer to Symbotic Inc. and its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6" w:name="page7"/>
    <w:bookmarkEnd w:id="6"/>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Unaudited Condensed Consolidated Financial Statements</w:t>
      </w:r>
    </w:p>
    <w:p>
      <w:pPr>
        <w:spacing w:after="0" w:line="37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Symbotic Inc.</w:t>
      </w:r>
    </w:p>
    <w:p>
      <w:pPr>
        <w:spacing w:after="0" w:line="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Unaudited Condensed Consolidated Balance Sheets (As Restated)</w:t>
      </w:r>
    </w:p>
    <w:p>
      <w:pPr>
        <w:spacing w:after="0" w:line="5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40" w:type="dxa"/>
            <w:vAlign w:val="bottom"/>
          </w:tcPr>
          <w:p>
            <w:pPr>
              <w:spacing w:after="0"/>
              <w:rPr>
                <w:sz w:val="16"/>
                <w:szCs w:val="16"/>
                <w:color w:val="auto"/>
              </w:rPr>
            </w:pP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8"/>
        </w:trPr>
        <w:tc>
          <w:tcPr>
            <w:tcW w:w="37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7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432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378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485,952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258,770</w:t>
            </w:r>
          </w:p>
        </w:tc>
        <w:tc>
          <w:tcPr>
            <w:tcW w:w="0" w:type="dxa"/>
            <w:vAlign w:val="bottom"/>
          </w:tcPr>
          <w:p>
            <w:pPr>
              <w:spacing w:after="0"/>
              <w:rPr>
                <w:sz w:val="1"/>
                <w:szCs w:val="1"/>
                <w:color w:val="auto"/>
              </w:rPr>
            </w:pPr>
          </w:p>
        </w:tc>
      </w:tr>
      <w:tr>
        <w:trPr>
          <w:trHeight w:val="36"/>
        </w:trPr>
        <w:tc>
          <w:tcPr>
            <w:tcW w:w="378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3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Marketable securities</w:t>
            </w:r>
          </w:p>
        </w:tc>
        <w:tc>
          <w:tcPr>
            <w:tcW w:w="4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189,011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286,736</w:t>
            </w:r>
          </w:p>
        </w:tc>
        <w:tc>
          <w:tcPr>
            <w:tcW w:w="0" w:type="dxa"/>
            <w:vAlign w:val="bottom"/>
          </w:tcPr>
          <w:p>
            <w:pPr>
              <w:spacing w:after="0"/>
              <w:rPr>
                <w:sz w:val="1"/>
                <w:szCs w:val="1"/>
                <w:color w:val="auto"/>
              </w:rPr>
            </w:pPr>
          </w:p>
        </w:tc>
      </w:tr>
      <w:tr>
        <w:trPr>
          <w:trHeight w:val="217"/>
        </w:trPr>
        <w:tc>
          <w:tcPr>
            <w:tcW w:w="3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69,206</w:t>
            </w:r>
          </w:p>
        </w:tc>
        <w:tc>
          <w:tcPr>
            <w:tcW w:w="0" w:type="dxa"/>
            <w:vAlign w:val="bottom"/>
          </w:tcPr>
          <w:p>
            <w:pPr>
              <w:spacing w:after="0"/>
              <w:rPr>
                <w:sz w:val="1"/>
                <w:szCs w:val="1"/>
                <w:color w:val="auto"/>
              </w:rPr>
            </w:pPr>
          </w:p>
        </w:tc>
      </w:tr>
      <w:tr>
        <w:trPr>
          <w:trHeight w:val="36"/>
        </w:trPr>
        <w:tc>
          <w:tcPr>
            <w:tcW w:w="378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3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4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121,149</w:t>
            </w:r>
          </w:p>
        </w:tc>
        <w:tc>
          <w:tcPr>
            <w:tcW w:w="0" w:type="dxa"/>
            <w:vAlign w:val="bottom"/>
          </w:tcPr>
          <w:p>
            <w:pPr>
              <w:spacing w:after="0"/>
              <w:rPr>
                <w:sz w:val="1"/>
                <w:szCs w:val="1"/>
                <w:color w:val="auto"/>
              </w:rPr>
            </w:pPr>
          </w:p>
        </w:tc>
      </w:tr>
      <w:tr>
        <w:trPr>
          <w:trHeight w:val="217"/>
        </w:trPr>
        <w:tc>
          <w:tcPr>
            <w:tcW w:w="3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136,121</w:t>
            </w:r>
          </w:p>
        </w:tc>
        <w:tc>
          <w:tcPr>
            <w:tcW w:w="0" w:type="dxa"/>
            <w:vAlign w:val="bottom"/>
          </w:tcPr>
          <w:p>
            <w:pPr>
              <w:spacing w:after="0"/>
              <w:rPr>
                <w:sz w:val="1"/>
                <w:szCs w:val="1"/>
                <w:color w:val="auto"/>
              </w:rPr>
            </w:pPr>
          </w:p>
        </w:tc>
      </w:tr>
      <w:tr>
        <w:trPr>
          <w:trHeight w:val="36"/>
        </w:trPr>
        <w:tc>
          <w:tcPr>
            <w:tcW w:w="378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3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expenses</w:t>
            </w:r>
          </w:p>
        </w:tc>
        <w:tc>
          <w:tcPr>
            <w:tcW w:w="4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34,577</w:t>
            </w:r>
          </w:p>
        </w:tc>
        <w:tc>
          <w:tcPr>
            <w:tcW w:w="0" w:type="dxa"/>
            <w:vAlign w:val="bottom"/>
          </w:tcPr>
          <w:p>
            <w:pPr>
              <w:spacing w:after="0"/>
              <w:rPr>
                <w:sz w:val="1"/>
                <w:szCs w:val="1"/>
                <w:color w:val="auto"/>
              </w:rPr>
            </w:pPr>
          </w:p>
        </w:tc>
      </w:tr>
      <w:tr>
        <w:trPr>
          <w:trHeight w:val="217"/>
        </w:trPr>
        <w:tc>
          <w:tcPr>
            <w:tcW w:w="3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85,236</w:t>
            </w:r>
          </w:p>
        </w:tc>
        <w:tc>
          <w:tcPr>
            <w:tcW w:w="0" w:type="dxa"/>
            <w:vAlign w:val="bottom"/>
          </w:tcPr>
          <w:p>
            <w:pPr>
              <w:spacing w:after="0"/>
              <w:rPr>
                <w:sz w:val="1"/>
                <w:szCs w:val="1"/>
                <w:color w:val="auto"/>
              </w:rPr>
            </w:pPr>
          </w:p>
        </w:tc>
      </w:tr>
      <w:tr>
        <w:trPr>
          <w:trHeight w:val="36"/>
        </w:trPr>
        <w:tc>
          <w:tcPr>
            <w:tcW w:w="3780" w:type="dxa"/>
            <w:vAlign w:val="bottom"/>
            <w:tcBorders>
              <w:bottom w:val="single" w:sz="8" w:color="CCEEFF"/>
            </w:tcBorders>
          </w:tcPr>
          <w:p>
            <w:pPr>
              <w:spacing w:after="0"/>
              <w:rPr>
                <w:sz w:val="3"/>
                <w:szCs w:val="3"/>
                <w:color w:val="auto"/>
              </w:rPr>
            </w:pPr>
          </w:p>
        </w:tc>
        <w:tc>
          <w:tcPr>
            <w:tcW w:w="41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4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1,251,196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991,795</w:t>
            </w:r>
          </w:p>
        </w:tc>
        <w:tc>
          <w:tcPr>
            <w:tcW w:w="0" w:type="dxa"/>
            <w:vAlign w:val="bottom"/>
          </w:tcPr>
          <w:p>
            <w:pPr>
              <w:spacing w:after="0"/>
              <w:rPr>
                <w:sz w:val="1"/>
                <w:szCs w:val="1"/>
                <w:color w:val="auto"/>
              </w:rPr>
            </w:pPr>
          </w:p>
        </w:tc>
      </w:tr>
      <w:tr>
        <w:trPr>
          <w:trHeight w:val="217"/>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34,507</w:t>
            </w:r>
          </w:p>
        </w:tc>
        <w:tc>
          <w:tcPr>
            <w:tcW w:w="0" w:type="dxa"/>
            <w:vAlign w:val="bottom"/>
          </w:tcPr>
          <w:p>
            <w:pPr>
              <w:spacing w:after="0"/>
              <w:rPr>
                <w:sz w:val="1"/>
                <w:szCs w:val="1"/>
                <w:color w:val="auto"/>
              </w:rPr>
            </w:pPr>
          </w:p>
        </w:tc>
      </w:tr>
      <w:tr>
        <w:trPr>
          <w:trHeight w:val="36"/>
        </w:trPr>
        <w:tc>
          <w:tcPr>
            <w:tcW w:w="378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4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7"/>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24,191</w:t>
            </w:r>
          </w:p>
        </w:tc>
        <w:tc>
          <w:tcPr>
            <w:tcW w:w="0" w:type="dxa"/>
            <w:vAlign w:val="bottom"/>
          </w:tcPr>
          <w:p>
            <w:pPr>
              <w:spacing w:after="0"/>
              <w:rPr>
                <w:sz w:val="1"/>
                <w:szCs w:val="1"/>
                <w:color w:val="auto"/>
              </w:rPr>
            </w:pPr>
          </w:p>
        </w:tc>
      </w:tr>
      <w:tr>
        <w:trPr>
          <w:trHeight w:val="36"/>
        </w:trPr>
        <w:tc>
          <w:tcPr>
            <w:tcW w:w="3780" w:type="dxa"/>
            <w:vAlign w:val="bottom"/>
            <w:tcBorders>
              <w:bottom w:val="single" w:sz="8" w:color="CCEEFF"/>
            </w:tcBorders>
          </w:tcPr>
          <w:p>
            <w:pPr>
              <w:spacing w:after="0"/>
              <w:rPr>
                <w:sz w:val="3"/>
                <w:szCs w:val="3"/>
                <w:color w:val="auto"/>
              </w:rPr>
            </w:pPr>
          </w:p>
        </w:tc>
        <w:tc>
          <w:tcPr>
            <w:tcW w:w="41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3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4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1,315,797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1,050,710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780" w:type="dxa"/>
            <w:vAlign w:val="bottom"/>
          </w:tcPr>
          <w:p>
            <w:pPr>
              <w:spacing w:after="0"/>
              <w:rPr>
                <w:sz w:val="14"/>
                <w:szCs w:val="14"/>
                <w:color w:val="auto"/>
              </w:rPr>
            </w:pPr>
          </w:p>
        </w:tc>
        <w:tc>
          <w:tcPr>
            <w:tcW w:w="4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378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4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4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102,657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109,918</w:t>
            </w:r>
          </w:p>
        </w:tc>
        <w:tc>
          <w:tcPr>
            <w:tcW w:w="0" w:type="dxa"/>
            <w:vAlign w:val="bottom"/>
          </w:tcPr>
          <w:p>
            <w:pPr>
              <w:spacing w:after="0"/>
              <w:rPr>
                <w:sz w:val="1"/>
                <w:szCs w:val="1"/>
                <w:color w:val="auto"/>
              </w:rPr>
            </w:pPr>
          </w:p>
        </w:tc>
      </w:tr>
      <w:tr>
        <w:trPr>
          <w:trHeight w:val="36"/>
        </w:trPr>
        <w:tc>
          <w:tcPr>
            <w:tcW w:w="378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3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w:t>
            </w:r>
          </w:p>
        </w:tc>
        <w:tc>
          <w:tcPr>
            <w:tcW w:w="4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115,800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99,992</w:t>
            </w:r>
          </w:p>
        </w:tc>
        <w:tc>
          <w:tcPr>
            <w:tcW w:w="0" w:type="dxa"/>
            <w:vAlign w:val="bottom"/>
          </w:tcPr>
          <w:p>
            <w:pPr>
              <w:spacing w:after="0"/>
              <w:rPr>
                <w:sz w:val="1"/>
                <w:szCs w:val="1"/>
                <w:color w:val="auto"/>
              </w:rPr>
            </w:pPr>
          </w:p>
        </w:tc>
      </w:tr>
      <w:tr>
        <w:trPr>
          <w:trHeight w:val="217"/>
        </w:trPr>
        <w:tc>
          <w:tcPr>
            <w:tcW w:w="3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Sales tax payable</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28,322</w:t>
            </w:r>
          </w:p>
        </w:tc>
        <w:tc>
          <w:tcPr>
            <w:tcW w:w="0" w:type="dxa"/>
            <w:vAlign w:val="bottom"/>
          </w:tcPr>
          <w:p>
            <w:pPr>
              <w:spacing w:after="0"/>
              <w:rPr>
                <w:sz w:val="1"/>
                <w:szCs w:val="1"/>
                <w:color w:val="auto"/>
              </w:rPr>
            </w:pPr>
          </w:p>
        </w:tc>
      </w:tr>
      <w:tr>
        <w:trPr>
          <w:trHeight w:val="36"/>
        </w:trPr>
        <w:tc>
          <w:tcPr>
            <w:tcW w:w="378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4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840,028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787,227</w:t>
            </w:r>
          </w:p>
        </w:tc>
        <w:tc>
          <w:tcPr>
            <w:tcW w:w="0" w:type="dxa"/>
            <w:vAlign w:val="bottom"/>
          </w:tcPr>
          <w:p>
            <w:pPr>
              <w:spacing w:after="0"/>
              <w:rPr>
                <w:sz w:val="1"/>
                <w:szCs w:val="1"/>
                <w:color w:val="auto"/>
              </w:rPr>
            </w:pPr>
          </w:p>
        </w:tc>
      </w:tr>
      <w:tr>
        <w:trPr>
          <w:trHeight w:val="209"/>
        </w:trPr>
        <w:tc>
          <w:tcPr>
            <w:tcW w:w="37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1,096,056</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1,025,459</w:t>
            </w:r>
          </w:p>
        </w:tc>
        <w:tc>
          <w:tcPr>
            <w:tcW w:w="0" w:type="dxa"/>
            <w:vAlign w:val="bottom"/>
          </w:tcPr>
          <w:p>
            <w:pPr>
              <w:spacing w:after="0"/>
              <w:rPr>
                <w:sz w:val="1"/>
                <w:szCs w:val="1"/>
                <w:color w:val="auto"/>
              </w:rPr>
            </w:pPr>
          </w:p>
        </w:tc>
      </w:tr>
      <w:tr>
        <w:trPr>
          <w:trHeight w:val="36"/>
        </w:trPr>
        <w:tc>
          <w:tcPr>
            <w:tcW w:w="378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4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27,967</w:t>
            </w:r>
          </w:p>
        </w:tc>
        <w:tc>
          <w:tcPr>
            <w:tcW w:w="0" w:type="dxa"/>
            <w:vAlign w:val="bottom"/>
          </w:tcPr>
          <w:p>
            <w:pPr>
              <w:spacing w:after="0"/>
              <w:rPr>
                <w:sz w:val="1"/>
                <w:szCs w:val="1"/>
                <w:color w:val="auto"/>
              </w:rPr>
            </w:pPr>
          </w:p>
        </w:tc>
      </w:tr>
      <w:tr>
        <w:trPr>
          <w:trHeight w:val="36"/>
        </w:trPr>
        <w:tc>
          <w:tcPr>
            <w:tcW w:w="3780" w:type="dxa"/>
            <w:vAlign w:val="bottom"/>
            <w:tcBorders>
              <w:bottom w:val="single" w:sz="8" w:color="CCEEFF"/>
            </w:tcBorders>
          </w:tcPr>
          <w:p>
            <w:pPr>
              <w:spacing w:after="0"/>
              <w:rPr>
                <w:sz w:val="3"/>
                <w:szCs w:val="3"/>
                <w:color w:val="auto"/>
              </w:rPr>
            </w:pPr>
          </w:p>
        </w:tc>
        <w:tc>
          <w:tcPr>
            <w:tcW w:w="41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liabilities</w:t>
            </w:r>
          </w:p>
        </w:tc>
        <w:tc>
          <w:tcPr>
            <w:tcW w:w="4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1,150,027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1,053,426</w:t>
            </w:r>
          </w:p>
        </w:tc>
        <w:tc>
          <w:tcPr>
            <w:tcW w:w="0" w:type="dxa"/>
            <w:vAlign w:val="bottom"/>
          </w:tcPr>
          <w:p>
            <w:pPr>
              <w:spacing w:after="0"/>
              <w:rPr>
                <w:sz w:val="1"/>
                <w:szCs w:val="1"/>
                <w:color w:val="auto"/>
              </w:rPr>
            </w:pPr>
          </w:p>
        </w:tc>
      </w:tr>
      <w:tr>
        <w:trPr>
          <w:trHeight w:val="221"/>
        </w:trPr>
        <w:tc>
          <w:tcPr>
            <w:tcW w:w="37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6"/>
        </w:trPr>
        <w:tc>
          <w:tcPr>
            <w:tcW w:w="3780" w:type="dxa"/>
            <w:vAlign w:val="bottom"/>
            <w:shd w:val="clear" w:color="auto" w:fill="CCEEFF"/>
          </w:tcPr>
          <w:p>
            <w:pPr>
              <w:spacing w:after="0"/>
              <w:rPr>
                <w:sz w:val="3"/>
                <w:szCs w:val="3"/>
                <w:color w:val="auto"/>
              </w:rPr>
            </w:pPr>
          </w:p>
        </w:tc>
        <w:tc>
          <w:tcPr>
            <w:tcW w:w="4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7146925" cy="160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6925" cy="16065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Equity:</w:t>
      </w:r>
    </w:p>
    <w:p>
      <w:pPr>
        <w:spacing w:after="0" w:line="69" w:lineRule="exact"/>
        <w:rPr>
          <w:sz w:val="20"/>
          <w:szCs w:val="20"/>
          <w:color w:val="auto"/>
        </w:rPr>
      </w:pPr>
    </w:p>
    <w:p>
      <w:pPr>
        <w:ind w:left="300" w:right="800"/>
        <w:spacing w:after="0" w:line="290" w:lineRule="auto"/>
        <w:rPr>
          <w:sz w:val="20"/>
          <w:szCs w:val="20"/>
          <w:color w:val="auto"/>
        </w:rPr>
      </w:pPr>
      <w:r>
        <w:rPr>
          <w:rFonts w:ascii="Times New Roman" w:cs="Times New Roman" w:eastAsia="Times New Roman" w:hAnsi="Times New Roman"/>
          <w:sz w:val="16"/>
          <w:szCs w:val="16"/>
          <w:color w:val="auto"/>
        </w:rPr>
        <w:t>Class A Common Stock, 3,000,000,000 shares authorized, 85,106,588 and 82,112,881 shares issued and outstanding at December 30, 2023 and September 30,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146925" cy="283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6925" cy="283210"/>
                    </a:xfrm>
                    <a:prstGeom prst="rect">
                      <a:avLst/>
                    </a:prstGeom>
                    <a:noFill/>
                  </pic:spPr>
                </pic:pic>
              </a:graphicData>
            </a:graphic>
          </wp:anchor>
        </w:drawing>
      </w:r>
    </w:p>
    <w:p>
      <w:pPr>
        <w:ind w:left="300" w:right="680"/>
        <w:spacing w:after="0" w:line="300" w:lineRule="auto"/>
        <w:rPr>
          <w:sz w:val="20"/>
          <w:szCs w:val="20"/>
          <w:color w:val="auto"/>
        </w:rPr>
      </w:pPr>
      <w:r>
        <w:rPr>
          <w:rFonts w:ascii="Times New Roman" w:cs="Times New Roman" w:eastAsia="Times New Roman" w:hAnsi="Times New Roman"/>
          <w:sz w:val="16"/>
          <w:szCs w:val="16"/>
          <w:color w:val="auto"/>
        </w:rPr>
        <w:t>Class V-1 Common Stock, 1,000,000,000 shares authorized, 81,489,643 and 66,931,097 shares issued and outstanding at December 30, 2023 and September 30, 2023,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color w:val="auto"/>
        </w:rPr>
        <w:t>10</w:t>
      </w:r>
      <w:r>
        <w:rPr>
          <w:sz w:val="20"/>
          <w:szCs w:val="20"/>
          <w:color w:val="auto"/>
        </w:rPr>
        <w:tab/>
      </w:r>
      <w:r>
        <w:rPr>
          <w:rFonts w:ascii="Times New Roman" w:cs="Times New Roman" w:eastAsia="Times New Roman" w:hAnsi="Times New Roman"/>
          <w:sz w:val="16"/>
          <w:szCs w:val="16"/>
          <w:color w:val="auto"/>
        </w:rPr>
        <w:t>8</w:t>
      </w:r>
    </w:p>
    <w:p>
      <w:pPr>
        <w:spacing w:after="0" w:line="262"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16"/>
          <w:szCs w:val="16"/>
          <w:color w:val="auto"/>
        </w:rPr>
        <w:t>8</w:t>
      </w:r>
      <w:r>
        <w:rPr>
          <w:sz w:val="20"/>
          <w:szCs w:val="20"/>
          <w:color w:val="auto"/>
        </w:rPr>
        <w:tab/>
      </w:r>
      <w:r>
        <w:rPr>
          <w:rFonts w:ascii="Times New Roman" w:cs="Times New Roman" w:eastAsia="Times New Roman" w:hAnsi="Times New Roman"/>
          <w:sz w:val="16"/>
          <w:szCs w:val="16"/>
          <w:color w:val="auto"/>
        </w:rPr>
        <w:t>7</w:t>
      </w:r>
    </w:p>
    <w:p>
      <w:pPr>
        <w:spacing w:after="0" w:line="283" w:lineRule="exact"/>
        <w:rPr>
          <w:sz w:val="20"/>
          <w:szCs w:val="20"/>
          <w:color w:val="auto"/>
        </w:rPr>
      </w:pPr>
    </w:p>
    <w:p>
      <w:pPr>
        <w:sectPr>
          <w:pgSz w:w="11900" w:h="16838" w:orient="portrait"/>
          <w:cols w:equalWidth="0" w:num="2">
            <w:col w:w="8600" w:space="720"/>
            <w:col w:w="1940"/>
          </w:cols>
          <w:pgMar w:left="320" w:top="17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7" w:name="page8"/>
    <w:bookmarkEnd w:id="7"/>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Class V-3 Common Stock, 450,000,000 shares authorized, 406,512,941 and 407,528,941shares issued and outstanding</w:t>
            </w:r>
          </w:p>
        </w:tc>
        <w:tc>
          <w:tcPr>
            <w:tcW w:w="4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9"/>
        </w:trPr>
        <w:tc>
          <w:tcPr>
            <w:tcW w:w="7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at December 30, 2023 and September 30, 2023, respectively</w:t>
            </w:r>
          </w:p>
        </w:tc>
        <w:tc>
          <w:tcPr>
            <w:tcW w:w="4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Additional paid-in capital - warrants</w:t>
            </w:r>
          </w:p>
        </w:tc>
        <w:tc>
          <w:tcPr>
            <w:tcW w:w="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58,126</w:t>
            </w:r>
          </w:p>
        </w:tc>
        <w:tc>
          <w:tcPr>
            <w:tcW w:w="0" w:type="dxa"/>
            <w:vAlign w:val="bottom"/>
          </w:tcPr>
          <w:p>
            <w:pPr>
              <w:spacing w:after="0"/>
              <w:rPr>
                <w:sz w:val="1"/>
                <w:szCs w:val="1"/>
                <w:color w:val="auto"/>
              </w:rPr>
            </w:pPr>
          </w:p>
        </w:tc>
      </w:tr>
      <w:tr>
        <w:trPr>
          <w:trHeight w:val="217"/>
        </w:trPr>
        <w:tc>
          <w:tcPr>
            <w:tcW w:w="7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1,257,853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1,254,022</w:t>
            </w:r>
          </w:p>
        </w:tc>
        <w:tc>
          <w:tcPr>
            <w:tcW w:w="0" w:type="dxa"/>
            <w:vAlign w:val="bottom"/>
          </w:tcPr>
          <w:p>
            <w:pPr>
              <w:spacing w:after="0"/>
              <w:rPr>
                <w:sz w:val="1"/>
                <w:szCs w:val="1"/>
                <w:color w:val="auto"/>
              </w:rPr>
            </w:pPr>
          </w:p>
        </w:tc>
      </w:tr>
      <w:tr>
        <w:trPr>
          <w:trHeight w:val="36"/>
        </w:trPr>
        <w:tc>
          <w:tcPr>
            <w:tcW w:w="7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7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Accumulated deficit</w:t>
            </w:r>
          </w:p>
        </w:tc>
        <w:tc>
          <w:tcPr>
            <w:tcW w:w="4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(1,313,271)</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(1,310,435)</w:t>
            </w:r>
          </w:p>
        </w:tc>
        <w:tc>
          <w:tcPr>
            <w:tcW w:w="0" w:type="dxa"/>
            <w:vAlign w:val="bottom"/>
          </w:tcPr>
          <w:p>
            <w:pPr>
              <w:spacing w:after="0"/>
              <w:rPr>
                <w:sz w:val="1"/>
                <w:szCs w:val="1"/>
                <w:color w:val="auto"/>
              </w:rPr>
            </w:pPr>
          </w:p>
        </w:tc>
      </w:tr>
      <w:tr>
        <w:trPr>
          <w:trHeight w:val="217"/>
        </w:trPr>
        <w:tc>
          <w:tcPr>
            <w:tcW w:w="7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0" w:type="dxa"/>
            <w:vAlign w:val="bottom"/>
          </w:tcPr>
          <w:p>
            <w:pPr>
              <w:spacing w:after="0"/>
              <w:rPr>
                <w:sz w:val="1"/>
                <w:szCs w:val="1"/>
                <w:color w:val="auto"/>
              </w:rPr>
            </w:pPr>
          </w:p>
        </w:tc>
      </w:tr>
      <w:tr>
        <w:trPr>
          <w:trHeight w:val="36"/>
        </w:trPr>
        <w:tc>
          <w:tcPr>
            <w:tcW w:w="79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7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(57,129)</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7"/>
        </w:trPr>
        <w:tc>
          <w:tcPr>
            <w:tcW w:w="7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Noncontrolling interest</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222,899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0" w:type="dxa"/>
            <w:vAlign w:val="bottom"/>
          </w:tcPr>
          <w:p>
            <w:pPr>
              <w:spacing w:after="0"/>
              <w:rPr>
                <w:sz w:val="1"/>
                <w:szCs w:val="1"/>
                <w:color w:val="auto"/>
              </w:rPr>
            </w:pPr>
          </w:p>
        </w:tc>
      </w:tr>
      <w:tr>
        <w:trPr>
          <w:trHeight w:val="36"/>
        </w:trPr>
        <w:tc>
          <w:tcPr>
            <w:tcW w:w="79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7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equity</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165,770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39"/>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4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1,315,797</w:t>
            </w:r>
          </w:p>
        </w:tc>
        <w:tc>
          <w:tcPr>
            <w:tcW w:w="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1,050,710</w:t>
            </w:r>
          </w:p>
        </w:tc>
        <w:tc>
          <w:tcPr>
            <w:tcW w:w="0" w:type="dxa"/>
            <w:vAlign w:val="bottom"/>
          </w:tcPr>
          <w:p>
            <w:pPr>
              <w:spacing w:after="0"/>
              <w:rPr>
                <w:sz w:val="1"/>
                <w:szCs w:val="1"/>
                <w:color w:val="auto"/>
              </w:rPr>
            </w:pPr>
          </w:p>
        </w:tc>
      </w:tr>
      <w:tr>
        <w:trPr>
          <w:trHeight w:val="22"/>
        </w:trPr>
        <w:tc>
          <w:tcPr>
            <w:tcW w:w="7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8" w:name="page9"/>
    <w:bookmarkEnd w:id="8"/>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Symbotic Inc.</w:t>
      </w:r>
    </w:p>
    <w:p>
      <w:pPr>
        <w:spacing w:after="0" w:line="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Operations (As Restated)</w:t>
      </w:r>
    </w:p>
    <w:p>
      <w:pPr>
        <w:spacing w:after="0" w:line="5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(in thousands, except share and per share information)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8"/>
        </w:trPr>
        <w:tc>
          <w:tcPr>
            <w:tcW w:w="850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r>
      <w:tr>
        <w:trPr>
          <w:trHeight w:val="193"/>
        </w:trPr>
        <w:tc>
          <w:tcPr>
            <w:tcW w:w="85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24, 2022</w:t>
            </w:r>
          </w:p>
        </w:tc>
      </w:tr>
      <w:tr>
        <w:trPr>
          <w:trHeight w:val="28"/>
        </w:trPr>
        <w:tc>
          <w:tcPr>
            <w:tcW w:w="8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3"/>
        </w:trPr>
        <w:tc>
          <w:tcPr>
            <w:tcW w:w="8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8"/>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3"/>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17"/>
        </w:trPr>
        <w:tc>
          <w:tcPr>
            <w:tcW w:w="85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347,705</w:t>
            </w:r>
          </w:p>
        </w:tc>
        <w:tc>
          <w:tcPr>
            <w:tcW w:w="10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197,901</w:t>
            </w:r>
          </w:p>
        </w:tc>
      </w:tr>
      <w:tr>
        <w:trPr>
          <w:trHeight w:val="36"/>
        </w:trPr>
        <w:tc>
          <w:tcPr>
            <w:tcW w:w="8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3"/>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r>
      <w:tr>
        <w:trPr>
          <w:trHeight w:val="217"/>
        </w:trPr>
        <w:tc>
          <w:tcPr>
            <w:tcW w:w="85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7,174</w:t>
            </w:r>
          </w:p>
        </w:tc>
      </w:tr>
      <w:tr>
        <w:trPr>
          <w:trHeight w:val="36"/>
        </w:trPr>
        <w:tc>
          <w:tcPr>
            <w:tcW w:w="85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5"/>
        </w:trPr>
        <w:tc>
          <w:tcPr>
            <w:tcW w:w="8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359,943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206,312</w:t>
            </w:r>
          </w:p>
        </w:tc>
      </w:tr>
      <w:tr>
        <w:trPr>
          <w:trHeight w:val="217"/>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Cost of revenue: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6"/>
        </w:trPr>
        <w:tc>
          <w:tcPr>
            <w:tcW w:w="8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3"/>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283,946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160,931</w:t>
            </w:r>
          </w:p>
        </w:tc>
      </w:tr>
      <w:tr>
        <w:trPr>
          <w:trHeight w:val="217"/>
        </w:trPr>
        <w:tc>
          <w:tcPr>
            <w:tcW w:w="85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r>
      <w:tr>
        <w:trPr>
          <w:trHeight w:val="36"/>
        </w:trPr>
        <w:tc>
          <w:tcPr>
            <w:tcW w:w="8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8,516</w:t>
            </w:r>
          </w:p>
        </w:tc>
      </w:tr>
      <w:tr>
        <w:trPr>
          <w:trHeight w:val="209"/>
        </w:trPr>
        <w:tc>
          <w:tcPr>
            <w:tcW w:w="8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cost of revenue</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295,886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171,118</w:t>
            </w:r>
          </w:p>
        </w:tc>
      </w:tr>
      <w:tr>
        <w:trPr>
          <w:trHeight w:val="36"/>
        </w:trPr>
        <w:tc>
          <w:tcPr>
            <w:tcW w:w="85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5"/>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35,194</w:t>
            </w:r>
          </w:p>
        </w:tc>
      </w:tr>
      <w:tr>
        <w:trPr>
          <w:trHeight w:val="197"/>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Operating expenses:</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36"/>
        </w:trPr>
        <w:tc>
          <w:tcPr>
            <w:tcW w:w="8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3"/>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42,144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50,740</w:t>
            </w:r>
          </w:p>
        </w:tc>
      </w:tr>
      <w:tr>
        <w:trPr>
          <w:trHeight w:val="217"/>
        </w:trPr>
        <w:tc>
          <w:tcPr>
            <w:tcW w:w="85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54,023</w:t>
            </w:r>
          </w:p>
        </w:tc>
      </w:tr>
      <w:tr>
        <w:trPr>
          <w:trHeight w:val="36"/>
        </w:trPr>
        <w:tc>
          <w:tcPr>
            <w:tcW w:w="85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5"/>
        </w:trPr>
        <w:tc>
          <w:tcPr>
            <w:tcW w:w="8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104,763</w:t>
            </w:r>
          </w:p>
        </w:tc>
      </w:tr>
      <w:tr>
        <w:trPr>
          <w:trHeight w:val="209"/>
        </w:trPr>
        <w:tc>
          <w:tcPr>
            <w:tcW w:w="85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(25,099)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(69,569)</w:t>
            </w:r>
          </w:p>
        </w:tc>
      </w:tr>
      <w:tr>
        <w:trPr>
          <w:trHeight w:val="36"/>
        </w:trPr>
        <w:tc>
          <w:tcPr>
            <w:tcW w:w="8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w:t>
            </w:r>
          </w:p>
        </w:tc>
      </w:tr>
      <w:tr>
        <w:trPr>
          <w:trHeight w:val="209"/>
        </w:trPr>
        <w:tc>
          <w:tcPr>
            <w:tcW w:w="85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before income tax</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(67,735)</w:t>
            </w:r>
          </w:p>
        </w:tc>
      </w:tr>
      <w:tr>
        <w:trPr>
          <w:trHeight w:val="36"/>
        </w:trPr>
        <w:tc>
          <w:tcPr>
            <w:tcW w:w="8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09"/>
        </w:trPr>
        <w:tc>
          <w:tcPr>
            <w:tcW w:w="85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(19,072)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(67,986)</w:t>
            </w:r>
          </w:p>
        </w:tc>
      </w:tr>
      <w:tr>
        <w:trPr>
          <w:trHeight w:val="36"/>
        </w:trPr>
        <w:tc>
          <w:tcPr>
            <w:tcW w:w="8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(60,793)</w:t>
            </w:r>
          </w:p>
        </w:tc>
      </w:tr>
      <w:tr>
        <w:trPr>
          <w:trHeight w:val="239"/>
        </w:trPr>
        <w:tc>
          <w:tcPr>
            <w:tcW w:w="85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(7,193)</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1"/>
        </w:trPr>
        <w:tc>
          <w:tcPr>
            <w:tcW w:w="8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7"/>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per share of Class A Common Stock:</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6"/>
        </w:trPr>
        <w:tc>
          <w:tcPr>
            <w:tcW w:w="8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3"/>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Basic and Diluted</w:t>
            </w: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17"/>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6"/>
        </w:trPr>
        <w:tc>
          <w:tcPr>
            <w:tcW w:w="8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7"/>
        </w:trPr>
        <w:tc>
          <w:tcPr>
            <w:tcW w:w="8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Basic and Diluted</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83,320,943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58,235,506</w:t>
            </w:r>
          </w:p>
        </w:tc>
      </w:tr>
      <w:tr>
        <w:trPr>
          <w:trHeight w:val="36"/>
        </w:trPr>
        <w:tc>
          <w:tcPr>
            <w:tcW w:w="85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10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9" w:name="page10"/>
    <w:bookmarkEnd w:id="9"/>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Symbotic Inc.</w:t>
      </w:r>
    </w:p>
    <w:p>
      <w:pPr>
        <w:spacing w:after="0" w:line="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Comprehensive Loss (As Restated)</w:t>
      </w:r>
    </w:p>
    <w:p>
      <w:pPr>
        <w:spacing w:after="0" w:line="5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28"/>
        </w:trPr>
        <w:tc>
          <w:tcPr>
            <w:tcW w:w="850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5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24, 2022</w:t>
            </w:r>
          </w:p>
        </w:tc>
        <w:tc>
          <w:tcPr>
            <w:tcW w:w="0" w:type="dxa"/>
            <w:vAlign w:val="bottom"/>
          </w:tcPr>
          <w:p>
            <w:pPr>
              <w:spacing w:after="0"/>
              <w:rPr>
                <w:sz w:val="1"/>
                <w:szCs w:val="1"/>
                <w:color w:val="auto"/>
              </w:rPr>
            </w:pPr>
          </w:p>
        </w:tc>
      </w:tr>
      <w:tr>
        <w:trPr>
          <w:trHeight w:val="28"/>
        </w:trPr>
        <w:tc>
          <w:tcPr>
            <w:tcW w:w="8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(67,986)</w:t>
            </w:r>
          </w:p>
        </w:tc>
        <w:tc>
          <w:tcPr>
            <w:tcW w:w="0" w:type="dxa"/>
            <w:vAlign w:val="bottom"/>
          </w:tcPr>
          <w:p>
            <w:pPr>
              <w:spacing w:after="0"/>
              <w:rPr>
                <w:sz w:val="1"/>
                <w:szCs w:val="1"/>
                <w:color w:val="auto"/>
              </w:rPr>
            </w:pPr>
          </w:p>
        </w:tc>
      </w:tr>
      <w:tr>
        <w:trPr>
          <w:trHeight w:val="217"/>
        </w:trPr>
        <w:tc>
          <w:tcPr>
            <w:tcW w:w="8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(60,793)</w:t>
            </w:r>
          </w:p>
        </w:tc>
        <w:tc>
          <w:tcPr>
            <w:tcW w:w="0" w:type="dxa"/>
            <w:vAlign w:val="bottom"/>
          </w:tcPr>
          <w:p>
            <w:pPr>
              <w:spacing w:after="0"/>
              <w:rPr>
                <w:sz w:val="1"/>
                <w:szCs w:val="1"/>
                <w:color w:val="auto"/>
              </w:rPr>
            </w:pPr>
          </w:p>
        </w:tc>
      </w:tr>
      <w:tr>
        <w:trPr>
          <w:trHeight w:val="36"/>
        </w:trPr>
        <w:tc>
          <w:tcPr>
            <w:tcW w:w="85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0" w:type="dxa"/>
            <w:vAlign w:val="bottom"/>
          </w:tcPr>
          <w:p>
            <w:pPr>
              <w:spacing w:after="0"/>
              <w:rPr>
                <w:sz w:val="1"/>
                <w:szCs w:val="1"/>
                <w:color w:val="auto"/>
              </w:rPr>
            </w:pPr>
          </w:p>
        </w:tc>
      </w:tr>
      <w:tr>
        <w:trPr>
          <w:trHeight w:val="197"/>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8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8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2"/>
        </w:trPr>
        <w:tc>
          <w:tcPr>
            <w:tcW w:w="8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unrealized gain on investments, net of income taxes of $— for the three months ended December 30, 2023 and</w:t>
            </w:r>
          </w:p>
        </w:tc>
        <w:tc>
          <w:tcPr>
            <w:tcW w:w="2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December 24, 2022</w:t>
            </w: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7"/>
        </w:trPr>
        <w:tc>
          <w:tcPr>
            <w:tcW w:w="8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other comprehensive loss attributable to noncontrolling interests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36"/>
        </w:trPr>
        <w:tc>
          <w:tcPr>
            <w:tcW w:w="85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attributable to common stockholders</w:t>
            </w: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(19,623)</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(68,178)</w:t>
            </w:r>
          </w:p>
        </w:tc>
        <w:tc>
          <w:tcPr>
            <w:tcW w:w="0" w:type="dxa"/>
            <w:vAlign w:val="bottom"/>
          </w:tcPr>
          <w:p>
            <w:pPr>
              <w:spacing w:after="0"/>
              <w:rPr>
                <w:sz w:val="1"/>
                <w:szCs w:val="1"/>
                <w:color w:val="auto"/>
              </w:rPr>
            </w:pPr>
          </w:p>
        </w:tc>
      </w:tr>
      <w:tr>
        <w:trPr>
          <w:trHeight w:val="36"/>
        </w:trPr>
        <w:tc>
          <w:tcPr>
            <w:tcW w:w="8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8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(60,965)</w:t>
            </w:r>
          </w:p>
        </w:tc>
        <w:tc>
          <w:tcPr>
            <w:tcW w:w="0" w:type="dxa"/>
            <w:vAlign w:val="bottom"/>
          </w:tcPr>
          <w:p>
            <w:pPr>
              <w:spacing w:after="0"/>
              <w:rPr>
                <w:sz w:val="1"/>
                <w:szCs w:val="1"/>
                <w:color w:val="auto"/>
              </w:rPr>
            </w:pPr>
          </w:p>
        </w:tc>
      </w:tr>
      <w:tr>
        <w:trPr>
          <w:trHeight w:val="23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loss attributable to common stockholders</w:t>
            </w: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(7,213)</w:t>
            </w:r>
          </w:p>
        </w:tc>
        <w:tc>
          <w:tcPr>
            <w:tcW w:w="0" w:type="dxa"/>
            <w:vAlign w:val="bottom"/>
          </w:tcPr>
          <w:p>
            <w:pPr>
              <w:spacing w:after="0"/>
              <w:rPr>
                <w:sz w:val="1"/>
                <w:szCs w:val="1"/>
                <w:color w:val="auto"/>
              </w:rPr>
            </w:pPr>
          </w:p>
        </w:tc>
      </w:tr>
      <w:tr>
        <w:trPr>
          <w:trHeight w:val="22"/>
        </w:trPr>
        <w:tc>
          <w:tcPr>
            <w:tcW w:w="8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0" w:name="page11"/>
    <w:bookmarkEnd w:id="10"/>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Symbotic Inc.</w:t>
      </w:r>
    </w:p>
    <w:p>
      <w:pPr>
        <w:spacing w:after="0" w:line="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Changes in Equity (Deficit) (As Restated)</w:t>
      </w:r>
    </w:p>
    <w:p>
      <w:pPr>
        <w:spacing w:after="0" w:line="5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(in thousands, except share information)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0" w:type="dxa"/>
            <w:vAlign w:val="bottom"/>
            <w:gridSpan w:val="18"/>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December 30, 2023</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6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400" w:type="dxa"/>
            <w:vAlign w:val="bottom"/>
            <w:gridSpan w:val="9"/>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V-1 Common</w:t>
            </w:r>
          </w:p>
        </w:tc>
        <w:tc>
          <w:tcPr>
            <w:tcW w:w="60" w:type="dxa"/>
            <w:vAlign w:val="bottom"/>
          </w:tcPr>
          <w:p>
            <w:pPr>
              <w:spacing w:after="0"/>
              <w:rPr>
                <w:sz w:val="15"/>
                <w:szCs w:val="15"/>
                <w:color w:val="auto"/>
              </w:rPr>
            </w:pPr>
          </w:p>
        </w:tc>
        <w:tc>
          <w:tcPr>
            <w:tcW w:w="13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Class V-3 Common</w:t>
            </w:r>
          </w:p>
        </w:tc>
        <w:tc>
          <w:tcPr>
            <w:tcW w:w="8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6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5"/>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5"/>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8"/>
                <w:szCs w:val="18"/>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1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Capital -</w:t>
            </w:r>
          </w:p>
        </w:tc>
        <w:tc>
          <w:tcPr>
            <w:tcW w:w="60" w:type="dxa"/>
            <w:vAlign w:val="bottom"/>
          </w:tcPr>
          <w:p>
            <w:pPr>
              <w:spacing w:after="0"/>
              <w:rPr>
                <w:sz w:val="13"/>
                <w:szCs w:val="13"/>
                <w:color w:val="auto"/>
              </w:rPr>
            </w:pPr>
          </w:p>
        </w:tc>
        <w:tc>
          <w:tcPr>
            <w:tcW w:w="780" w:type="dxa"/>
            <w:vAlign w:val="bottom"/>
            <w:gridSpan w:val="3"/>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5"/>
          </w:tcPr>
          <w:p>
            <w:pPr>
              <w:jc w:val="center"/>
              <w:ind w:right="60"/>
              <w:spacing w:after="0" w:line="15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4"/>
          </w:tcPr>
          <w:p>
            <w:pPr>
              <w:jc w:val="right"/>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5"/>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68"/>
              <w:spacing w:after="0" w:line="151"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7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62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16"/>
                <w:szCs w:val="16"/>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6"/>
                <w:szCs w:val="16"/>
                <w:color w:val="auto"/>
              </w:rPr>
            </w:pPr>
          </w:p>
        </w:tc>
        <w:tc>
          <w:tcPr>
            <w:tcW w:w="8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8"/>
        </w:trPr>
        <w:tc>
          <w:tcPr>
            <w:tcW w:w="16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28"/>
        </w:trPr>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82,112,881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66,931,097</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407,528,941</w:t>
            </w: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58,126</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$ 1,254,022</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(1,310,435)</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0" w:type="dxa"/>
            <w:vAlign w:val="bottom"/>
          </w:tcPr>
          <w:p>
            <w:pPr>
              <w:spacing w:after="0"/>
              <w:rPr>
                <w:sz w:val="1"/>
                <w:szCs w:val="1"/>
                <w:color w:val="auto"/>
              </w:rPr>
            </w:pPr>
          </w:p>
        </w:tc>
      </w:tr>
      <w:tr>
        <w:trPr>
          <w:trHeight w:val="201"/>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(19,072)</w:t>
            </w:r>
          </w:p>
        </w:tc>
        <w:tc>
          <w:tcPr>
            <w:tcW w:w="0" w:type="dxa"/>
            <w:vAlign w:val="bottom"/>
          </w:tcPr>
          <w:p>
            <w:pPr>
              <w:spacing w:after="0"/>
              <w:rPr>
                <w:sz w:val="1"/>
                <w:szCs w:val="1"/>
                <w:color w:val="auto"/>
              </w:rPr>
            </w:pPr>
          </w:p>
        </w:tc>
      </w:tr>
      <w:tr>
        <w:trPr>
          <w:trHeight w:val="28"/>
        </w:trPr>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 stock plans, net of</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taxes</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665,842</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3"/>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of Class V-1 and</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V-3 common stock</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2,327,865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(1,311,865)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(1,016,000)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25,087</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29,462</w:t>
            </w:r>
          </w:p>
        </w:tc>
        <w:tc>
          <w:tcPr>
            <w:tcW w:w="0" w:type="dxa"/>
            <w:vAlign w:val="bottom"/>
          </w:tcPr>
          <w:p>
            <w:pPr>
              <w:spacing w:after="0"/>
              <w:rPr>
                <w:sz w:val="1"/>
                <w:szCs w:val="1"/>
                <w:color w:val="auto"/>
              </w:rPr>
            </w:pPr>
          </w:p>
        </w:tc>
      </w:tr>
      <w:tr>
        <w:trPr>
          <w:trHeight w:val="201"/>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28"/>
        </w:trPr>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15,870,411</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(58,126)</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216,828</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158,705</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30,</w:t>
            </w:r>
          </w:p>
        </w:tc>
        <w:tc>
          <w:tcPr>
            <w:tcW w:w="6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85,106,588</w:t>
            </w:r>
          </w:p>
        </w:tc>
        <w:tc>
          <w:tcPr>
            <w:tcW w:w="80" w:type="dxa"/>
            <w:vAlign w:val="bottom"/>
          </w:tcPr>
          <w:p>
            <w:pPr>
              <w:spacing w:after="0"/>
              <w:rPr>
                <w:sz w:val="15"/>
                <w:szCs w:val="15"/>
                <w:color w:val="auto"/>
              </w:rPr>
            </w:pPr>
          </w:p>
        </w:tc>
        <w:tc>
          <w:tcPr>
            <w:tcW w:w="2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5"/>
                <w:szCs w:val="15"/>
                <w:color w:val="auto"/>
              </w:rPr>
            </w:pPr>
          </w:p>
        </w:tc>
        <w:tc>
          <w:tcPr>
            <w:tcW w:w="7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81,489,643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406,512,941</w:t>
            </w:r>
          </w:p>
        </w:tc>
        <w:tc>
          <w:tcPr>
            <w:tcW w:w="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240" w:type="dxa"/>
            <w:vAlign w:val="bottom"/>
            <w:tcBorders>
              <w:top w:val="single" w:sz="8" w:color="auto"/>
            </w:tcBorders>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vMerge w:val="restart"/>
          </w:tcPr>
          <w:p>
            <w:pPr>
              <w:spacing w:after="0"/>
              <w:rPr>
                <w:sz w:val="15"/>
                <w:szCs w:val="15"/>
                <w:color w:val="auto"/>
              </w:rPr>
            </w:pPr>
          </w:p>
        </w:tc>
        <w:tc>
          <w:tcPr>
            <w:tcW w:w="7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$ 1,257,853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tcBorders>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(1,313,271)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222,899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165,770</w:t>
            </w:r>
          </w:p>
        </w:tc>
        <w:tc>
          <w:tcPr>
            <w:tcW w:w="0" w:type="dxa"/>
            <w:vAlign w:val="bottom"/>
          </w:tcPr>
          <w:p>
            <w:pPr>
              <w:spacing w:after="0"/>
              <w:rPr>
                <w:sz w:val="1"/>
                <w:szCs w:val="1"/>
                <w:color w:val="auto"/>
              </w:rPr>
            </w:pPr>
          </w:p>
        </w:tc>
      </w:tr>
      <w:tr>
        <w:trPr>
          <w:trHeight w:val="196"/>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68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2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gridSpan w:val="2"/>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60" w:type="dxa"/>
            <w:vAlign w:val="bottom"/>
            <w:gridSpan w:val="2"/>
            <w:vMerge w:val="continue"/>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gridSpan w:val="2"/>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gridSpan w:val="1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24, 2022</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80" w:type="dxa"/>
            <w:vAlign w:val="bottom"/>
          </w:tcPr>
          <w:p>
            <w:pPr>
              <w:spacing w:after="0"/>
              <w:rPr>
                <w:sz w:val="15"/>
                <w:szCs w:val="15"/>
                <w:color w:val="auto"/>
              </w:rPr>
            </w:pPr>
          </w:p>
        </w:tc>
        <w:tc>
          <w:tcPr>
            <w:tcW w:w="1320" w:type="dxa"/>
            <w:vAlign w:val="bottom"/>
            <w:gridSpan w:val="8"/>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V-1 Common</w:t>
            </w:r>
          </w:p>
        </w:tc>
        <w:tc>
          <w:tcPr>
            <w:tcW w:w="60" w:type="dxa"/>
            <w:vAlign w:val="bottom"/>
          </w:tcPr>
          <w:p>
            <w:pPr>
              <w:spacing w:after="0"/>
              <w:rPr>
                <w:sz w:val="15"/>
                <w:szCs w:val="15"/>
                <w:color w:val="auto"/>
              </w:rPr>
            </w:pPr>
          </w:p>
        </w:tc>
        <w:tc>
          <w:tcPr>
            <w:tcW w:w="1380" w:type="dxa"/>
            <w:vAlign w:val="bottom"/>
            <w:gridSpan w:val="8"/>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V-3 Common</w:t>
            </w:r>
          </w:p>
        </w:tc>
        <w:tc>
          <w:tcPr>
            <w:tcW w:w="40" w:type="dxa"/>
            <w:vAlign w:val="bottom"/>
          </w:tcPr>
          <w:p>
            <w:pPr>
              <w:spacing w:after="0"/>
              <w:rPr>
                <w:sz w:val="15"/>
                <w:szCs w:val="15"/>
                <w:color w:val="auto"/>
              </w:rPr>
            </w:pP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8"/>
            <w:vMerge w:val="continue"/>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8"/>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0"/>
                <w:szCs w:val="10"/>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0"/>
        </w:trPr>
        <w:tc>
          <w:tcPr>
            <w:tcW w:w="168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4"/>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gridSpan w:val="5"/>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1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5"/>
            <w:vMerge w:val="continue"/>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5"/>
            <w:vMerge w:val="continue"/>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vMerge w:val="restart"/>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Capital -</w:t>
            </w:r>
          </w:p>
        </w:tc>
        <w:tc>
          <w:tcPr>
            <w:tcW w:w="60" w:type="dxa"/>
            <w:vAlign w:val="bottom"/>
          </w:tcPr>
          <w:p>
            <w:pPr>
              <w:spacing w:after="0"/>
              <w:rPr>
                <w:sz w:val="11"/>
                <w:szCs w:val="11"/>
                <w:color w:val="auto"/>
              </w:rPr>
            </w:pPr>
          </w:p>
        </w:tc>
        <w:tc>
          <w:tcPr>
            <w:tcW w:w="780" w:type="dxa"/>
            <w:vAlign w:val="bottom"/>
            <w:gridSpan w:val="3"/>
            <w:vMerge w:val="restart"/>
          </w:tcPr>
          <w:p>
            <w:pPr>
              <w:jc w:val="center"/>
              <w:ind w:right="40"/>
              <w:spacing w:after="0" w:line="15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1"/>
                <w:szCs w:val="11"/>
                <w:color w:val="auto"/>
              </w:rPr>
            </w:pPr>
          </w:p>
        </w:tc>
        <w:tc>
          <w:tcPr>
            <w:tcW w:w="1020" w:type="dxa"/>
            <w:vAlign w:val="bottom"/>
            <w:gridSpan w:val="4"/>
            <w:vMerge w:val="restart"/>
          </w:tcPr>
          <w:p>
            <w:pPr>
              <w:jc w:val="center"/>
              <w:ind w:right="20"/>
              <w:spacing w:after="0" w:line="15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1"/>
                <w:szCs w:val="11"/>
                <w:color w:val="auto"/>
              </w:rPr>
            </w:pPr>
          </w:p>
        </w:tc>
        <w:tc>
          <w:tcPr>
            <w:tcW w:w="880" w:type="dxa"/>
            <w:vAlign w:val="bottom"/>
            <w:gridSpan w:val="3"/>
            <w:vMerge w:val="restart"/>
          </w:tcPr>
          <w:p>
            <w:pPr>
              <w:jc w:val="center"/>
              <w:ind w:right="2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1000" w:type="dxa"/>
            <w:vAlign w:val="bottom"/>
            <w:gridSpan w:val="4"/>
            <w:vMerge w:val="restart"/>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center"/>
              <w:ind w:right="28"/>
              <w:spacing w:after="0" w:line="15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8"/>
        </w:trPr>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6"/>
                <w:szCs w:val="16"/>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7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6"/>
                <w:szCs w:val="16"/>
                <w:color w:val="auto"/>
              </w:rPr>
            </w:pPr>
          </w:p>
        </w:tc>
        <w:tc>
          <w:tcPr>
            <w:tcW w:w="5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7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16"/>
                <w:szCs w:val="16"/>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6"/>
                <w:szCs w:val="16"/>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8"/>
        </w:trPr>
        <w:tc>
          <w:tcPr>
            <w:tcW w:w="16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24,</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57,718,836</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79,237,388</w:t>
            </w:r>
          </w:p>
        </w:tc>
        <w:tc>
          <w:tcPr>
            <w:tcW w:w="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416,933,025</w:t>
            </w:r>
          </w:p>
        </w:tc>
        <w:tc>
          <w:tcPr>
            <w:tcW w:w="2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58,126</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$ 1,237,865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(2,294)</w:t>
            </w:r>
          </w:p>
        </w:tc>
        <w:tc>
          <w:tcPr>
            <w:tcW w:w="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(1,286,569)</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61,756</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68,940</w:t>
            </w:r>
          </w:p>
        </w:tc>
        <w:tc>
          <w:tcPr>
            <w:tcW w:w="0" w:type="dxa"/>
            <w:vAlign w:val="bottom"/>
          </w:tcPr>
          <w:p>
            <w:pPr>
              <w:spacing w:after="0"/>
              <w:rPr>
                <w:sz w:val="1"/>
                <w:szCs w:val="1"/>
                <w:color w:val="auto"/>
              </w:rPr>
            </w:pPr>
          </w:p>
        </w:tc>
      </w:tr>
      <w:tr>
        <w:trPr>
          <w:trHeight w:val="201"/>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(7,193)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(60,793)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(67,986)</w:t>
            </w:r>
          </w:p>
        </w:tc>
        <w:tc>
          <w:tcPr>
            <w:tcW w:w="0" w:type="dxa"/>
            <w:vAlign w:val="bottom"/>
          </w:tcPr>
          <w:p>
            <w:pPr>
              <w:spacing w:after="0"/>
              <w:rPr>
                <w:sz w:val="1"/>
                <w:szCs w:val="1"/>
                <w:color w:val="auto"/>
              </w:rPr>
            </w:pPr>
          </w:p>
        </w:tc>
      </w:tr>
      <w:tr>
        <w:trPr>
          <w:trHeight w:val="28"/>
        </w:trPr>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17,500</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 stock plans</w:t>
            </w: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of Class V-1</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848,354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(848,354)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44,298</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49,540</w:t>
            </w:r>
          </w:p>
        </w:tc>
        <w:tc>
          <w:tcPr>
            <w:tcW w:w="0" w:type="dxa"/>
            <w:vAlign w:val="bottom"/>
          </w:tcPr>
          <w:p>
            <w:pPr>
              <w:spacing w:after="0"/>
              <w:rPr>
                <w:sz w:val="1"/>
                <w:szCs w:val="1"/>
                <w:color w:val="auto"/>
              </w:rPr>
            </w:pPr>
          </w:p>
        </w:tc>
      </w:tr>
      <w:tr>
        <w:trPr>
          <w:trHeight w:val="201"/>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8"/>
        </w:trPr>
        <w:tc>
          <w:tcPr>
            <w:tcW w:w="16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24,</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58,584,690</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78,389,034</w:t>
            </w:r>
          </w:p>
        </w:tc>
        <w:tc>
          <w:tcPr>
            <w:tcW w:w="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416,933,025</w:t>
            </w:r>
          </w:p>
        </w:tc>
        <w:tc>
          <w:tcPr>
            <w:tcW w:w="2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58,126</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$ 1,243,217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(2,314)</w:t>
            </w:r>
          </w:p>
        </w:tc>
        <w:tc>
          <w:tcPr>
            <w:tcW w:w="2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(1,293,762)</w:t>
            </w: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50,302</w:t>
            </w:r>
          </w:p>
        </w:tc>
        <w:tc>
          <w:tcPr>
            <w:tcW w:w="0" w:type="dxa"/>
            <w:vAlign w:val="bottom"/>
          </w:tcPr>
          <w:p>
            <w:pPr>
              <w:spacing w:after="0"/>
              <w:rPr>
                <w:sz w:val="1"/>
                <w:szCs w:val="1"/>
                <w:color w:val="auto"/>
              </w:rPr>
            </w:pPr>
          </w:p>
        </w:tc>
      </w:tr>
      <w:tr>
        <w:trPr>
          <w:trHeight w:val="216"/>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1" w:name="page12"/>
    <w:bookmarkEnd w:id="11"/>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Symbotic Inc.</w:t>
      </w:r>
    </w:p>
    <w:p>
      <w:pPr>
        <w:spacing w:after="0" w:line="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 (As Restated)</w:t>
      </w:r>
    </w:p>
    <w:p>
      <w:pPr>
        <w:spacing w:after="0" w:line="5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8"/>
        </w:trPr>
        <w:tc>
          <w:tcPr>
            <w:tcW w:w="8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3"/>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20" w:type="dxa"/>
            <w:vAlign w:val="bottom"/>
          </w:tcPr>
          <w:p>
            <w:pPr>
              <w:spacing w:after="0"/>
              <w:rPr>
                <w:sz w:val="16"/>
                <w:szCs w:val="16"/>
                <w:color w:val="auto"/>
              </w:rPr>
            </w:pP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24, 2022</w:t>
            </w:r>
          </w:p>
        </w:tc>
      </w:tr>
      <w:tr>
        <w:trPr>
          <w:trHeight w:val="28"/>
        </w:trPr>
        <w:tc>
          <w:tcPr>
            <w:tcW w:w="8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3"/>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8"/>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17"/>
        </w:trPr>
        <w:tc>
          <w:tcPr>
            <w:tcW w:w="8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(67,986)</w:t>
            </w: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3"/>
        </w:trPr>
        <w:tc>
          <w:tcPr>
            <w:tcW w:w="8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17"/>
        </w:trPr>
        <w:tc>
          <w:tcPr>
            <w:tcW w:w="8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w:t>
            </w: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3"/>
        </w:trPr>
        <w:tc>
          <w:tcPr>
            <w:tcW w:w="8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Foreign currency losses</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7"/>
        </w:trPr>
        <w:tc>
          <w:tcPr>
            <w:tcW w:w="8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Provision for excess and obsolete inventory</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3"/>
        </w:trPr>
        <w:tc>
          <w:tcPr>
            <w:tcW w:w="8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49,540</w:t>
            </w:r>
          </w:p>
        </w:tc>
      </w:tr>
      <w:tr>
        <w:trPr>
          <w:trHeight w:val="217"/>
        </w:trPr>
        <w:tc>
          <w:tcPr>
            <w:tcW w:w="8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3"/>
        </w:trPr>
        <w:tc>
          <w:tcPr>
            <w:tcW w:w="8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(48,959)</w:t>
            </w:r>
          </w:p>
        </w:tc>
      </w:tr>
      <w:tr>
        <w:trPr>
          <w:trHeight w:val="217"/>
        </w:trPr>
        <w:tc>
          <w:tcPr>
            <w:tcW w:w="82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(19,096)</w:t>
            </w: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3"/>
        </w:trPr>
        <w:tc>
          <w:tcPr>
            <w:tcW w:w="8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r>
      <w:tr>
        <w:trPr>
          <w:trHeight w:val="217"/>
        </w:trPr>
        <w:tc>
          <w:tcPr>
            <w:tcW w:w="82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expenses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w:t>
            </w: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3"/>
        </w:trPr>
        <w:tc>
          <w:tcPr>
            <w:tcW w:w="8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long-term assets</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(6,107)</w:t>
            </w:r>
          </w:p>
        </w:tc>
      </w:tr>
      <w:tr>
        <w:trPr>
          <w:trHeight w:val="217"/>
        </w:trPr>
        <w:tc>
          <w:tcPr>
            <w:tcW w:w="82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(7,514)</w:t>
            </w: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3"/>
        </w:trPr>
        <w:tc>
          <w:tcPr>
            <w:tcW w:w="8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34,133</w:t>
            </w:r>
          </w:p>
        </w:tc>
      </w:tr>
      <w:tr>
        <w:trPr>
          <w:trHeight w:val="217"/>
        </w:trPr>
        <w:tc>
          <w:tcPr>
            <w:tcW w:w="82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164,090</w:t>
            </w: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3"/>
        </w:trPr>
        <w:tc>
          <w:tcPr>
            <w:tcW w:w="8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5,578</w:t>
            </w:r>
          </w:p>
        </w:tc>
      </w:tr>
      <w:tr>
        <w:trPr>
          <w:trHeight w:val="209"/>
        </w:trPr>
        <w:tc>
          <w:tcPr>
            <w:tcW w:w="82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101,052</w:t>
            </w:r>
          </w:p>
        </w:tc>
      </w:tr>
      <w:tr>
        <w:trPr>
          <w:trHeight w:val="36"/>
        </w:trPr>
        <w:tc>
          <w:tcPr>
            <w:tcW w:w="82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1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17"/>
        </w:trPr>
        <w:tc>
          <w:tcPr>
            <w:tcW w:w="8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w:t>
            </w: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3"/>
        </w:trPr>
        <w:tc>
          <w:tcPr>
            <w:tcW w:w="8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Capitalization of internal use software development costs</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3"/>
        </w:trPr>
        <w:tc>
          <w:tcPr>
            <w:tcW w:w="8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(96,813)</w:t>
            </w:r>
          </w:p>
        </w:tc>
      </w:tr>
      <w:tr>
        <w:trPr>
          <w:trHeight w:val="209"/>
        </w:trPr>
        <w:tc>
          <w:tcPr>
            <w:tcW w:w="82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98,690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(103,803)</w:t>
            </w:r>
          </w:p>
        </w:tc>
      </w:tr>
      <w:tr>
        <w:trPr>
          <w:trHeight w:val="36"/>
        </w:trPr>
        <w:tc>
          <w:tcPr>
            <w:tcW w:w="82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1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17"/>
        </w:trPr>
        <w:tc>
          <w:tcPr>
            <w:tcW w:w="8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 for taxes related to net share settlement of stock-based compensation awards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3"/>
        </w:trPr>
        <w:tc>
          <w:tcPr>
            <w:tcW w:w="8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2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158,646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w:t>
            </w: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353,457</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488,102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350,724</w:t>
            </w:r>
          </w:p>
        </w:tc>
      </w:tr>
      <w:tr>
        <w:trPr>
          <w:trHeight w:val="36"/>
        </w:trPr>
        <w:tc>
          <w:tcPr>
            <w:tcW w:w="82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3"/>
        </w:trPr>
        <w:tc>
          <w:tcPr>
            <w:tcW w:w="8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activities: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17"/>
        </w:trPr>
        <w:tc>
          <w:tcPr>
            <w:tcW w:w="8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operating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6"/>
        </w:trPr>
        <w:tc>
          <w:tcPr>
            <w:tcW w:w="8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r>
    </w:tbl>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2" w:name="page13"/>
    <w:bookmarkEnd w:id="12"/>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Symbotic Inc.</w:t>
      </w: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Organization and Operations</w:t>
      </w:r>
    </w:p>
    <w:p>
      <w:pPr>
        <w:spacing w:after="0" w:line="59" w:lineRule="exact"/>
        <w:rPr>
          <w:sz w:val="20"/>
          <w:szCs w:val="20"/>
          <w:color w:val="auto"/>
        </w:rPr>
      </w:pPr>
    </w:p>
    <w:p>
      <w:pPr>
        <w:ind w:firstLine="289"/>
        <w:spacing w:after="0" w:line="256" w:lineRule="auto"/>
        <w:rPr>
          <w:sz w:val="20"/>
          <w:szCs w:val="20"/>
          <w:color w:val="auto"/>
        </w:rPr>
      </w:pPr>
      <w:r>
        <w:rPr>
          <w:rFonts w:ascii="Times New Roman" w:cs="Times New Roman" w:eastAsia="Times New Roman" w:hAnsi="Times New Roman"/>
          <w:sz w:val="16"/>
          <w:szCs w:val="16"/>
          <w:color w:val="auto"/>
        </w:rPr>
        <w:t>SVF Investment Corp. 3, formerly known as SVF Investment III Corp., (“SVF 3” and, after the transactions described below, “Symbotic” or the “Company”) was a blank check company incorporated as a Cayman Islands exempted company on December 11, 2020. Warehouse Technologies LLC (“Legacy Warehouse”), was formed in December 2006 to make investments in companies that develop new technologies to improve operating efficiencies in modern warehouses. Symbotic LLC, a technology company that develops and commercializes innovative technologies for use within warehouse operations, and Symbotic Group Holdings, ULC were wholly owned subsidiaries of Legacy Warehouse. On December 12, 2021, (i) SVF 3 entered into an Agreement and Plan of Merger (the “Merger Agreement”) with Legacy Warehouse, Symbotic Holdings LLC (“Symbotic Holdings”), and Saturn Acquisition (DE) Corp., a wholly owned subsidiary of SVF 3 (“Merger Sub”) and (ii) Legacy Warehouse entered into an Agreement and Plan of Merger (the “Company Merger Agreement”) with Symbotic Holdings.</w:t>
      </w:r>
    </w:p>
    <w:p>
      <w:pPr>
        <w:spacing w:after="0" w:line="24" w:lineRule="exact"/>
        <w:rPr>
          <w:sz w:val="20"/>
          <w:szCs w:val="20"/>
          <w:color w:val="auto"/>
        </w:rPr>
      </w:pPr>
    </w:p>
    <w:p>
      <w:pPr>
        <w:ind w:firstLine="289"/>
        <w:spacing w:after="0" w:line="259" w:lineRule="auto"/>
        <w:rPr>
          <w:sz w:val="20"/>
          <w:szCs w:val="20"/>
          <w:color w:val="auto"/>
        </w:rPr>
      </w:pPr>
      <w:r>
        <w:rPr>
          <w:rFonts w:ascii="Times New Roman" w:cs="Times New Roman" w:eastAsia="Times New Roman" w:hAnsi="Times New Roman"/>
          <w:sz w:val="16"/>
          <w:szCs w:val="16"/>
          <w:color w:val="auto"/>
        </w:rPr>
        <w:t>On June 7, 2022, as contemplated by the Company Merger Agreement, Legacy Warehouse merged with and into Symbotic Holdings (the “Company Reorganization”), with Symbotic Holdings surviving the merger (“Interim Symbotic”). Immediately following such merger, on June 7, 2022, as contemplated by the Merger Agreement, SVF 3 transferred by way of continuation from the Cayman Islands and domesticated as a Delaware corporation, changing its name to “Symbotic Inc.”. Immediately following the domestication of SVF 3, on June 7, 2022, as contemplated by the Merger Agreement, Merger Sub merged with and into Interim Symbotic (the “Merger” and, together with the Company Reorganization, the “Business Combination”), with Interim Symbotic surviving the merger as a subsidiary of Symbotic (“New Symbotic Holdings”).</w:t>
      </w:r>
    </w:p>
    <w:p>
      <w:pPr>
        <w:spacing w:after="0" w:line="19" w:lineRule="exact"/>
        <w:rPr>
          <w:sz w:val="20"/>
          <w:szCs w:val="20"/>
          <w:color w:val="auto"/>
        </w:rPr>
      </w:pPr>
    </w:p>
    <w:p>
      <w:pPr>
        <w:ind w:right="60" w:firstLine="289"/>
        <w:spacing w:after="0" w:line="259" w:lineRule="auto"/>
        <w:rPr>
          <w:sz w:val="20"/>
          <w:szCs w:val="20"/>
          <w:color w:val="auto"/>
        </w:rPr>
      </w:pPr>
      <w:r>
        <w:rPr>
          <w:rFonts w:ascii="Times New Roman" w:cs="Times New Roman" w:eastAsia="Times New Roman" w:hAnsi="Times New Roman"/>
          <w:sz w:val="16"/>
          <w:szCs w:val="16"/>
          <w:color w:val="auto"/>
        </w:rPr>
        <w:t>Symbotic Inc. is an automation technology company established to develop technologies to improve operating efficiencies in modern warehouses. The Company’s vision is to make the supply chain work better for everyone. The Company does this by developing innovative, end-to-end technology solutions that dramatically improve supply chain operations. The Company currently automates the processing of pallets and cases in large warehouses or distribution centers for some of the largest retail companies in the world. Its systems enhance operations at the front end of the supply chain, and therefore benefit all supply partners further down the chain, irrespective of fulfillment strategy.</w:t>
      </w:r>
    </w:p>
    <w:p>
      <w:pPr>
        <w:spacing w:after="0" w:line="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Company’s headquarters are located in Wilmington, Massachusetts, and its Canadian headquarters are located in Montreal, Quebec.</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(As Restated)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of Presentation and Consolidation</w:t>
      </w:r>
    </w:p>
    <w:p>
      <w:pPr>
        <w:spacing w:after="0" w:line="59" w:lineRule="exact"/>
        <w:rPr>
          <w:sz w:val="20"/>
          <w:szCs w:val="20"/>
          <w:color w:val="auto"/>
        </w:rPr>
      </w:pPr>
    </w:p>
    <w:p>
      <w:pPr>
        <w:ind w:right="180" w:firstLine="289"/>
        <w:spacing w:after="0" w:line="258"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U.S. dollars, in accordance with accounting principles generally accepted in the United States of America (“GAAP”). Certain information and note disclosures normally included in the Company’s annual audited consolidated financial statements and accompanying notes prepared in accordance with GAAP have been condensed in, or omitted from, these interim financial statements. Accordingly, these unaudited condensed consolidated financial statements included herein should be read in conjunction with the audited consolidated financial statements and accompanying notes thereto as of and for the year ended September 30, 2023, which are included within the Company’s Annual Report on Form 10-K filed with the SEC on December 11, 2023. The September 30, 2023 consolidated balance sheet included herein is derived from the Company’s audited consolidated financial statements.</w:t>
      </w:r>
    </w:p>
    <w:p>
      <w:pPr>
        <w:spacing w:after="0" w:line="18" w:lineRule="exact"/>
        <w:rPr>
          <w:sz w:val="20"/>
          <w:szCs w:val="20"/>
          <w:color w:val="auto"/>
        </w:rPr>
      </w:pPr>
    </w:p>
    <w:p>
      <w:pPr>
        <w:ind w:firstLine="289"/>
        <w:spacing w:after="0" w:line="259"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include the accounts of the Company and its wholly owned subsidiaries and majority-owned subsidiaries and reflect all adjustments (consisting solely of normal, recurring adjustments) which are, in the opinion of management, necessary for a fair statement of results for the interim periods presented. All intercompany balances and transactions have been eliminated in consolidation. The consolidated financial statements include 100% of the accounts of wholly owned and majority-owned subsidiaries and the ownership interest of the minority investor is recorded as a non-controlling interest in a subsidiary. The results of operations for the interim periods presented are not necessarily indicative of the results to be expected for any future period or the entire fiscal year.</w:t>
      </w:r>
    </w:p>
    <w:p>
      <w:pPr>
        <w:spacing w:after="0" w:line="19" w:lineRule="exact"/>
        <w:rPr>
          <w:sz w:val="20"/>
          <w:szCs w:val="20"/>
          <w:color w:val="auto"/>
        </w:rPr>
      </w:pPr>
    </w:p>
    <w:p>
      <w:pPr>
        <w:ind w:right="100" w:firstLine="289"/>
        <w:spacing w:after="0" w:line="284" w:lineRule="auto"/>
        <w:rPr>
          <w:sz w:val="20"/>
          <w:szCs w:val="20"/>
          <w:color w:val="auto"/>
        </w:rPr>
      </w:pPr>
      <w:r>
        <w:rPr>
          <w:rFonts w:ascii="Times New Roman" w:cs="Times New Roman" w:eastAsia="Times New Roman" w:hAnsi="Times New Roman"/>
          <w:sz w:val="16"/>
          <w:szCs w:val="16"/>
          <w:color w:val="auto"/>
        </w:rPr>
        <w:t>The Company operates and reports using a 52-53 week fiscal year ending on the last Saturday of September of each calendar year. Each of the Company’s fiscal quarters end on the last Saturday of the third month of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3" w:name="page14"/>
    <w:bookmarkEnd w:id="13"/>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Use of Estimates</w:t>
      </w:r>
    </w:p>
    <w:p>
      <w:pPr>
        <w:spacing w:after="0" w:line="59" w:lineRule="exact"/>
        <w:rPr>
          <w:sz w:val="20"/>
          <w:szCs w:val="20"/>
          <w:color w:val="auto"/>
        </w:rPr>
      </w:pPr>
    </w:p>
    <w:p>
      <w:pPr>
        <w:ind w:right="120" w:firstLine="289"/>
        <w:spacing w:after="0" w:line="259" w:lineRule="auto"/>
        <w:rPr>
          <w:sz w:val="20"/>
          <w:szCs w:val="20"/>
          <w:color w:val="auto"/>
        </w:rPr>
      </w:pPr>
      <w:r>
        <w:rPr>
          <w:rFonts w:ascii="Times New Roman" w:cs="Times New Roman" w:eastAsia="Times New Roman" w:hAnsi="Times New Roman"/>
          <w:sz w:val="16"/>
          <w:szCs w:val="16"/>
          <w:color w:val="auto"/>
        </w:rPr>
        <w:t>The preparation of unaudited condensed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stock-based compensation. Estimates are periodically reviewed in light of changes in circumstances, facts, and experience.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Significant Accounting Policies</w:t>
      </w:r>
    </w:p>
    <w:p>
      <w:pPr>
        <w:spacing w:after="0" w:line="57" w:lineRule="exact"/>
        <w:rPr>
          <w:sz w:val="20"/>
          <w:szCs w:val="20"/>
          <w:color w:val="auto"/>
        </w:rPr>
      </w:pPr>
    </w:p>
    <w:p>
      <w:pPr>
        <w:ind w:right="20" w:firstLine="289"/>
        <w:spacing w:after="0" w:line="269" w:lineRule="auto"/>
        <w:rPr>
          <w:sz w:val="20"/>
          <w:szCs w:val="20"/>
          <w:color w:val="auto"/>
        </w:rPr>
      </w:pPr>
      <w:r>
        <w:rPr>
          <w:rFonts w:ascii="Times New Roman" w:cs="Times New Roman" w:eastAsia="Times New Roman" w:hAnsi="Times New Roman"/>
          <w:sz w:val="16"/>
          <w:szCs w:val="16"/>
          <w:color w:val="auto"/>
        </w:rPr>
        <w:t xml:space="preserve">The Company’s significant accounting policies are described in Note 2,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to the audited consolidated financial statements and related notes thereto as of and for the year ended September 30, 2023. Except as noted below, there have been no material changes to the significant accounting policies during the three month period ended December 30, 2023.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Restatement of Previously Issued Unaudited Condensed Consolidated Financial Statements</w:t>
      </w:r>
    </w:p>
    <w:p>
      <w:pPr>
        <w:spacing w:after="0" w:line="57" w:lineRule="exact"/>
        <w:rPr>
          <w:sz w:val="20"/>
          <w:szCs w:val="20"/>
          <w:color w:val="auto"/>
        </w:rPr>
      </w:pPr>
    </w:p>
    <w:p>
      <w:pPr>
        <w:ind w:right="40" w:firstLine="289"/>
        <w:spacing w:after="0" w:line="257" w:lineRule="auto"/>
        <w:rPr>
          <w:sz w:val="20"/>
          <w:szCs w:val="20"/>
          <w:color w:val="auto"/>
        </w:rPr>
      </w:pPr>
      <w:r>
        <w:rPr>
          <w:rFonts w:ascii="Times New Roman" w:cs="Times New Roman" w:eastAsia="Times New Roman" w:hAnsi="Times New Roman"/>
          <w:sz w:val="16"/>
          <w:szCs w:val="16"/>
          <w:color w:val="auto"/>
        </w:rPr>
        <w:t xml:space="preserve">As described in Note 3, </w:t>
      </w:r>
      <w:r>
        <w:rPr>
          <w:rFonts w:ascii="Times New Roman" w:cs="Times New Roman" w:eastAsia="Times New Roman" w:hAnsi="Times New Roman"/>
          <w:sz w:val="16"/>
          <w:szCs w:val="16"/>
          <w:i w:val="1"/>
          <w:iCs w:val="1"/>
          <w:color w:val="auto"/>
        </w:rPr>
        <w:t>Restatement of Previously Issued Unaudited Condensed Consolidated Financial Statements</w:t>
      </w:r>
      <w:r>
        <w:rPr>
          <w:rFonts w:ascii="Times New Roman" w:cs="Times New Roman" w:eastAsia="Times New Roman" w:hAnsi="Times New Roman"/>
          <w:sz w:val="16"/>
          <w:szCs w:val="16"/>
          <w:color w:val="auto"/>
        </w:rPr>
        <w:t xml:space="preserve">, the Company’s unaudited condensed consolidated financial statements as of and for the three months ended ended December 30, 2023 are restated in this Quarterly Report on Form 10-Q (this “Amendment No. 1” or this “Form 10-Q/A”) to reflect the corrections primarily relating to specific milestone achievements being expensed prior to the time that the corresponding milestones were achieved. This resulted in the acceleration of the recognition of cost of revenue. Given that the Company recognizes revenue on a percentage of completion basis, this resulted in the acceleration of recognition of revenue. Additionally, the Company identified, during fiscal year 2024, a classification error within equity, which was corrected as part of the Restatement. The restated unaudited condensed consolidated financial statements are indicated as “Restated” in the unaudited condensed consolidated financial statements and accompanying notes, as applicable. See Note 3, </w:t>
      </w:r>
      <w:r>
        <w:rPr>
          <w:rFonts w:ascii="Times New Roman" w:cs="Times New Roman" w:eastAsia="Times New Roman" w:hAnsi="Times New Roman"/>
          <w:sz w:val="16"/>
          <w:szCs w:val="16"/>
          <w:i w:val="1"/>
          <w:iCs w:val="1"/>
          <w:color w:val="auto"/>
        </w:rPr>
        <w:t>Restatement of Previously Issued Unaudited Condensed Consolidated Financial Statements</w:t>
      </w:r>
      <w:r>
        <w:rPr>
          <w:rFonts w:ascii="Times New Roman" w:cs="Times New Roman" w:eastAsia="Times New Roman" w:hAnsi="Times New Roman"/>
          <w:sz w:val="16"/>
          <w:szCs w:val="16"/>
          <w:color w:val="auto"/>
        </w:rPr>
        <w:t xml:space="preserve"> for further discussion.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Presentation of Restricted Cash</w:t>
      </w:r>
    </w:p>
    <w:p>
      <w:pPr>
        <w:spacing w:after="0" w:line="59" w:lineRule="exact"/>
        <w:rPr>
          <w:sz w:val="20"/>
          <w:szCs w:val="20"/>
          <w:color w:val="auto"/>
        </w:rPr>
      </w:pPr>
    </w:p>
    <w:p>
      <w:pPr>
        <w:ind w:right="80" w:firstLine="289"/>
        <w:spacing w:after="0" w:line="259" w:lineRule="auto"/>
        <w:rPr>
          <w:sz w:val="20"/>
          <w:szCs w:val="20"/>
          <w:color w:val="auto"/>
        </w:rPr>
      </w:pPr>
      <w:r>
        <w:rPr>
          <w:rFonts w:ascii="Times New Roman" w:cs="Times New Roman" w:eastAsia="Times New Roman" w:hAnsi="Times New Roman"/>
          <w:sz w:val="16"/>
          <w:szCs w:val="16"/>
          <w:color w:val="auto"/>
        </w:rPr>
        <w:t>Restricted cash consists of collateral required for a credit card processing program. The short-term or long-term classification is determined in accordance with the required amount of time the cash is to be held as collateral, which is short-term for less than 12 months, and long-term for greater than 12 months from the balance sheet date. As the cash is required to be held as collateral for a period which is greater than 12 months from December 30, 2023, it is presented in other long-term assets. The following table summarizes the end-of-period cash and cash equivalents from the Company’s Consolidated Balance Sheets and the total cash, cash equivalents, and restricted cash as presented on the accompanying Consolidated Statements of Cash Flows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8"/>
        </w:trPr>
        <w:tc>
          <w:tcPr>
            <w:tcW w:w="8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3"/>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20" w:type="dxa"/>
            <w:vAlign w:val="bottom"/>
          </w:tcPr>
          <w:p>
            <w:pPr>
              <w:spacing w:after="0"/>
              <w:rPr>
                <w:sz w:val="16"/>
                <w:szCs w:val="16"/>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December 24, 2022</w:t>
            </w:r>
          </w:p>
        </w:tc>
      </w:tr>
      <w:tr>
        <w:trPr>
          <w:trHeight w:val="28"/>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485,952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350,724</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classified in:</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3"/>
        </w:trPr>
        <w:tc>
          <w:tcPr>
            <w:tcW w:w="8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long-term assets</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shown in the statement of cash flows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488,102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350,724</w:t>
            </w:r>
          </w:p>
        </w:tc>
      </w:tr>
      <w:tr>
        <w:trPr>
          <w:trHeight w:val="22"/>
        </w:trPr>
        <w:tc>
          <w:tcPr>
            <w:tcW w:w="8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Volume of Business</w:t>
      </w:r>
    </w:p>
    <w:p>
      <w:pPr>
        <w:spacing w:after="0" w:line="59" w:lineRule="exact"/>
        <w:rPr>
          <w:sz w:val="20"/>
          <w:szCs w:val="20"/>
          <w:color w:val="auto"/>
        </w:rPr>
      </w:pPr>
    </w:p>
    <w:p>
      <w:pPr>
        <w:jc w:val="both"/>
        <w:ind w:right="300" w:firstLine="289"/>
        <w:spacing w:after="0" w:line="267" w:lineRule="auto"/>
        <w:rPr>
          <w:sz w:val="20"/>
          <w:szCs w:val="20"/>
          <w:color w:val="auto"/>
        </w:rPr>
      </w:pPr>
      <w:r>
        <w:rPr>
          <w:rFonts w:ascii="Times New Roman" w:cs="Times New Roman" w:eastAsia="Times New Roman" w:hAnsi="Times New Roman"/>
          <w:sz w:val="16"/>
          <w:szCs w:val="16"/>
          <w:color w:val="auto"/>
        </w:rPr>
        <w:t>The Company has concentration in the volume of purchases it conducts with its suppliers. For the three months ended December 30, 2023, there was one supplier that accounted for greater than 10% of total purchases, and the aggregate purchases amounted to $40.0 million. For the three months ended December 24, 2022, there was one supplier that accounted for greater than 10% of total purchases, and the aggregate purchases amounted to $28.3 million.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Emerging Growth Company</w:t>
      </w:r>
    </w:p>
    <w:p>
      <w:pPr>
        <w:spacing w:after="0" w:line="59" w:lineRule="exact"/>
        <w:rPr>
          <w:sz w:val="20"/>
          <w:szCs w:val="20"/>
          <w:color w:val="auto"/>
        </w:rPr>
      </w:pPr>
    </w:p>
    <w:p>
      <w:pPr>
        <w:ind w:right="60" w:firstLine="289"/>
        <w:spacing w:after="0" w:line="267" w:lineRule="auto"/>
        <w:rPr>
          <w:sz w:val="20"/>
          <w:szCs w:val="20"/>
          <w:color w:val="auto"/>
        </w:rPr>
      </w:pPr>
      <w:r>
        <w:rPr>
          <w:rFonts w:ascii="Times New Roman" w:cs="Times New Roman" w:eastAsia="Times New Roman" w:hAnsi="Times New Roman"/>
          <w:sz w:val="16"/>
          <w:szCs w:val="16"/>
          <w:color w:val="auto"/>
        </w:rPr>
        <w:t>The Company is an emerging growth company (“EGC”), as defined in Section 2(a) of the Securities Act of 1933, as modified by the Jumpstart Our Business Startups Act of 2012 (the “JOBS Act”). Section 102(b)(1) of the JOBS Act exempts EGCs from being required to comply with new or revised financial accounting standards until private companies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4" w:name="page15"/>
    <w:bookmarkEnd w:id="14"/>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those that have not had a Securities Act registration statement declared effective or do not have a class of securities registered under the Exchange Act) are required to comply with the new or revised financial accounting standards. The JOBS Act provides that an EGC can elect to opt out of the extended transition period and comply with the requirements that apply to non-EGCs but any such an election to opt out is irrevocable. The Company has not elected to opt out of such extended transition period which means that when a financial accounting standard is issued or revised and it has different application dates for public or private companies, the Company, as an EGC, can adopt the new or revised standard at the time private companies adopt the new or revised standard. The Company will be eligible to use this extended transition period under the JOBS Act until the earlier of the date it (i) is no longer an EGC or (ii) affirmatively and irrevocably opts out of the extended transition period provided in the JOBS Act. As a result, the Company’s financial statements may not be comparable to the financial statements of issuers who are required to comply with the effective dates for new or revised accounting standards that are applicable to public companies, which may make comparison of the Company’s financials to those of other public companies more difficult.</w:t>
      </w:r>
    </w:p>
    <w:p>
      <w:pPr>
        <w:spacing w:after="0" w:line="21" w:lineRule="exact"/>
        <w:rPr>
          <w:sz w:val="20"/>
          <w:szCs w:val="20"/>
          <w:color w:val="auto"/>
        </w:rPr>
      </w:pPr>
    </w:p>
    <w:p>
      <w:pPr>
        <w:ind w:right="80" w:firstLine="289"/>
        <w:spacing w:after="0" w:line="256" w:lineRule="auto"/>
        <w:rPr>
          <w:sz w:val="20"/>
          <w:szCs w:val="20"/>
          <w:color w:val="auto"/>
        </w:rPr>
      </w:pPr>
      <w:r>
        <w:rPr>
          <w:rFonts w:ascii="Times New Roman" w:cs="Times New Roman" w:eastAsia="Times New Roman" w:hAnsi="Times New Roman"/>
          <w:sz w:val="16"/>
          <w:szCs w:val="16"/>
          <w:color w:val="auto"/>
        </w:rPr>
        <w:t>The Company will cease to be an EGC on the date that is the earliest of (i) the end of the fiscal year in which total annual gross revenue exceeds $1.235 billion, (ii) the last day of the Company’s fiscal year following March 11, 2026 (the fifth anniversary of the date on which SVF 3 consummated the initial public offering of SVF 3), (iii) the date on which the Company has issued more than $1.0 billion in non-convertible debt during the preceding three-year period; or (iv) the end of the fiscal year in which the market value of the Company’s common stock held by non-affiliates exceeds $700 million as of the last business day of the most recently completed second fiscal quarter. As of the last business day of the most recently completed second fiscal quarter ended March 25, 2023, the market value of the Company’s common stock held by non-affiliates was approximately $517.0 million (based on the closing sales price of the Class A common stock on March 24, 2023 of $21.68), and therefore, the Company continues to be classified as an EGC for the current period ended December 30,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 Accounting Pronouncements</w:t>
      </w:r>
    </w:p>
    <w:p>
      <w:pPr>
        <w:spacing w:after="0" w:line="59" w:lineRule="exact"/>
        <w:rPr>
          <w:sz w:val="20"/>
          <w:szCs w:val="20"/>
          <w:color w:val="auto"/>
        </w:rPr>
      </w:pPr>
    </w:p>
    <w:p>
      <w:pPr>
        <w:ind w:right="180" w:firstLine="289"/>
        <w:spacing w:after="0" w:line="284" w:lineRule="auto"/>
        <w:rPr>
          <w:sz w:val="20"/>
          <w:szCs w:val="20"/>
          <w:color w:val="auto"/>
        </w:rPr>
      </w:pPr>
      <w:r>
        <w:rPr>
          <w:rFonts w:ascii="Times New Roman" w:cs="Times New Roman" w:eastAsia="Times New Roman" w:hAnsi="Times New Roman"/>
          <w:sz w:val="16"/>
          <w:szCs w:val="16"/>
          <w:color w:val="auto"/>
        </w:rPr>
        <w:t>The Company has implemented all applicable accounting pronouncements that are in effect and there are no new accounting pronouncements that have been issued that would have a material impact on its financial position or results of operations.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Restatement of Previously Issued Unaudited Condensed Consolidated Financial Statements</w:t>
      </w:r>
    </w:p>
    <w:p>
      <w:pPr>
        <w:spacing w:after="0" w:line="59" w:lineRule="exact"/>
        <w:rPr>
          <w:sz w:val="20"/>
          <w:szCs w:val="20"/>
          <w:color w:val="auto"/>
        </w:rPr>
      </w:pPr>
    </w:p>
    <w:p>
      <w:pPr>
        <w:ind w:right="640" w:firstLine="289"/>
        <w:spacing w:after="0" w:line="282" w:lineRule="auto"/>
        <w:rPr>
          <w:sz w:val="20"/>
          <w:szCs w:val="20"/>
          <w:color w:val="auto"/>
        </w:rPr>
      </w:pPr>
      <w:r>
        <w:rPr>
          <w:rFonts w:ascii="Times New Roman" w:cs="Times New Roman" w:eastAsia="Times New Roman" w:hAnsi="Times New Roman"/>
          <w:sz w:val="16"/>
          <w:szCs w:val="16"/>
          <w:color w:val="auto"/>
        </w:rPr>
        <w:t>On November 18, 2024, the Audit Committee of the Board of Directors of the Company, after discussions with the Company’s management, determined that the Company’s unaudited condensed consolidated financial statements included in the Original Form 10-Q should no longer be relied upon.</w:t>
      </w:r>
    </w:p>
    <w:p>
      <w:pPr>
        <w:spacing w:after="0" w:line="1" w:lineRule="exact"/>
        <w:rPr>
          <w:sz w:val="20"/>
          <w:szCs w:val="20"/>
          <w:color w:val="auto"/>
        </w:rPr>
      </w:pPr>
    </w:p>
    <w:p>
      <w:pPr>
        <w:jc w:val="both"/>
        <w:ind w:firstLine="289"/>
        <w:spacing w:after="0" w:line="262" w:lineRule="auto"/>
        <w:rPr>
          <w:sz w:val="20"/>
          <w:szCs w:val="20"/>
          <w:color w:val="auto"/>
        </w:rPr>
      </w:pPr>
      <w:r>
        <w:rPr>
          <w:rFonts w:ascii="Times New Roman" w:cs="Times New Roman" w:eastAsia="Times New Roman" w:hAnsi="Times New Roman"/>
          <w:sz w:val="16"/>
          <w:szCs w:val="16"/>
          <w:color w:val="auto"/>
        </w:rPr>
        <w:t>This Note 3 discloses the nature of the restatement adjustments and discloses the cumulative effects of these adjustments on the unaudited condensed consolidated balance sheets, statements of operations, statements of changes in equity (deficit), and statements of cash flows for the three months ended December 30, 2023 included in the Original Form 10-Q. The unaudited condensed consolidated statements of comprehensive loss for the three months ended December 30, 2023 have also been restated for the correction to net loss, net loss attributable to noncontrolling interests, and net loss attributable to common stockholders.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Description of Restatement Adjustments</w:t>
      </w:r>
    </w:p>
    <w:p>
      <w:pPr>
        <w:spacing w:after="0" w:line="59" w:lineRule="exact"/>
        <w:rPr>
          <w:sz w:val="20"/>
          <w:szCs w:val="20"/>
          <w:color w:val="auto"/>
        </w:rPr>
      </w:pPr>
    </w:p>
    <w:p>
      <w:pPr>
        <w:ind w:right="40" w:firstLine="289"/>
        <w:spacing w:after="0" w:line="262" w:lineRule="auto"/>
        <w:rPr>
          <w:sz w:val="20"/>
          <w:szCs w:val="20"/>
          <w:color w:val="auto"/>
        </w:rPr>
      </w:pPr>
      <w:r>
        <w:rPr>
          <w:rFonts w:ascii="Times New Roman" w:cs="Times New Roman" w:eastAsia="Times New Roman" w:hAnsi="Times New Roman"/>
          <w:sz w:val="16"/>
          <w:szCs w:val="16"/>
          <w:color w:val="auto"/>
        </w:rPr>
        <w:t>The restatement is primarily related to the Company’s identification, during fiscal year 2024, of goods and services, primarily relating to specific milestone achievements, being expensed prior to the time that the corresponding milestones were achieved. This resulted in the acceleration of the recognition of cost of revenue. Given that the Company recognizes revenue on a percentage of completion basis, this resulted in the acceleration of recognition of revenue. Additionally, the Company identified, during fiscal year 2024, a classification error within equity, which was corrected as part of the Restatement.</w:t>
      </w:r>
    </w:p>
    <w:p>
      <w:pPr>
        <w:spacing w:after="0" w:line="16" w:lineRule="exact"/>
        <w:rPr>
          <w:sz w:val="20"/>
          <w:szCs w:val="20"/>
          <w:color w:val="auto"/>
        </w:rPr>
      </w:pPr>
    </w:p>
    <w:p>
      <w:pPr>
        <w:ind w:right="260" w:firstLine="289"/>
        <w:spacing w:after="0" w:line="267" w:lineRule="auto"/>
        <w:rPr>
          <w:sz w:val="20"/>
          <w:szCs w:val="20"/>
          <w:color w:val="auto"/>
        </w:rPr>
      </w:pPr>
      <w:r>
        <w:rPr>
          <w:rFonts w:ascii="Times New Roman" w:cs="Times New Roman" w:eastAsia="Times New Roman" w:hAnsi="Times New Roman"/>
          <w:sz w:val="16"/>
          <w:szCs w:val="16"/>
          <w:color w:val="auto"/>
        </w:rPr>
        <w:t>The effects of the restatement, including the related income tax impacts are reflected in the impacted tables and footnotes throughout these unaudited condensed consolidated financial statements in this Form 10-Q/A. The restatement adjustments and their impacts on the previously issued unaudited condensed consolidated financial statements included in the Original Form 10-Q are described below.</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Unaudited Condensed Consolidated Financial Statements - Restatement Reconciliation Tables</w:t>
      </w:r>
    </w:p>
    <w:p>
      <w:pPr>
        <w:spacing w:after="0" w:line="57" w:lineRule="exact"/>
        <w:rPr>
          <w:sz w:val="20"/>
          <w:szCs w:val="20"/>
          <w:color w:val="auto"/>
        </w:rPr>
      </w:pPr>
    </w:p>
    <w:p>
      <w:pPr>
        <w:ind w:right="140" w:firstLine="289"/>
        <w:spacing w:after="0" w:line="286" w:lineRule="auto"/>
        <w:rPr>
          <w:sz w:val="20"/>
          <w:szCs w:val="20"/>
          <w:color w:val="auto"/>
        </w:rPr>
      </w:pPr>
      <w:r>
        <w:rPr>
          <w:rFonts w:ascii="Times New Roman" w:cs="Times New Roman" w:eastAsia="Times New Roman" w:hAnsi="Times New Roman"/>
          <w:sz w:val="16"/>
          <w:szCs w:val="16"/>
          <w:color w:val="auto"/>
        </w:rPr>
        <w:t xml:space="preserve">In light of the foregoing, in accordance with ASC 250, </w:t>
      </w:r>
      <w:r>
        <w:rPr>
          <w:rFonts w:ascii="Times New Roman" w:cs="Times New Roman" w:eastAsia="Times New Roman" w:hAnsi="Times New Roman"/>
          <w:sz w:val="16"/>
          <w:szCs w:val="16"/>
          <w:i w:val="1"/>
          <w:iCs w:val="1"/>
          <w:color w:val="auto"/>
        </w:rPr>
        <w:t>Accounting Changes and Error Corrections</w:t>
      </w:r>
      <w:r>
        <w:rPr>
          <w:rFonts w:ascii="Times New Roman" w:cs="Times New Roman" w:eastAsia="Times New Roman" w:hAnsi="Times New Roman"/>
          <w:sz w:val="16"/>
          <w:szCs w:val="16"/>
          <w:color w:val="auto"/>
        </w:rPr>
        <w:t>, the Company is restating the previously issued unaudited condensed consolidated financial statements for the three months ended December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5" w:name="page16"/>
    <w:bookmarkEnd w:id="15"/>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6"/>
          <w:szCs w:val="16"/>
          <w:color w:val="auto"/>
        </w:rPr>
        <w:t>30, 2023, to reflect the effects of the restatements adjustments, and to make certain corresponding disclosures. In the following tables, the Company has presented a reconciliation of its unaudited condensed consolidated balance sheets, statements of operations, statements of changes in equity (deficit), and statements of cash flows as previously reported for the three months ended December 30, 2023, to the restated amounts. Financial statement line items and subtotals that were not impacted by the restatement adjustments have been omitted for enhanced clarity.</w:t>
      </w:r>
    </w:p>
    <w:p>
      <w:pPr>
        <w:spacing w:after="0" w:line="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Summary of Restatement - Unaudited Condensed Consolidated Balance Sheets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8"/>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3"/>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80" w:type="dxa"/>
            <w:vAlign w:val="bottom"/>
          </w:tcPr>
          <w:p>
            <w:pPr>
              <w:spacing w:after="0"/>
              <w:rPr>
                <w:sz w:val="16"/>
                <w:szCs w:val="16"/>
                <w:color w:val="auto"/>
              </w:rPr>
            </w:pPr>
          </w:p>
        </w:tc>
        <w:tc>
          <w:tcPr>
            <w:tcW w:w="140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8"/>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147,956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(8,507)</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139,449</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1,259,703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1,251,196</w:t>
            </w: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1,324,304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(8,507)</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1,315,797</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106,088</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102,657</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115,800</w:t>
            </w: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1,098,458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1,096,056</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1,152,429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1,150,027</w:t>
            </w:r>
          </w:p>
        </w:tc>
      </w:tr>
      <w:tr>
        <w:trPr>
          <w:trHeight w:val="241"/>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1,474,681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(216,828)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1,257,853</w:t>
            </w: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(1,312,363)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(1,313,271)</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160,607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(217,736)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(57,129)</w:t>
            </w: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211,631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222,899</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171,875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165,770</w:t>
            </w:r>
          </w:p>
        </w:tc>
      </w:tr>
      <w:tr>
        <w:trPr>
          <w:trHeight w:val="241"/>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1,324,304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1,315,797</w:t>
            </w:r>
          </w:p>
        </w:tc>
      </w:tr>
      <w:tr>
        <w:trPr>
          <w:trHeight w:val="36"/>
        </w:trPr>
        <w:tc>
          <w:tcPr>
            <w:tcW w:w="60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6" w:name="page17"/>
    <w:bookmarkEnd w:id="16"/>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Summary of Restatement - Unaudited Condensed Consolidated Statements of Operations (in thousands, except per share information):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92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30, 2023</w:t>
            </w:r>
          </w:p>
        </w:tc>
      </w:tr>
      <w:tr>
        <w:trPr>
          <w:trHeight w:val="28"/>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3"/>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80" w:type="dxa"/>
            <w:vAlign w:val="bottom"/>
          </w:tcPr>
          <w:p>
            <w:pPr>
              <w:spacing w:after="0"/>
              <w:rPr>
                <w:sz w:val="16"/>
                <w:szCs w:val="16"/>
                <w:color w:val="auto"/>
              </w:rPr>
            </w:pPr>
          </w:p>
        </w:tc>
        <w:tc>
          <w:tcPr>
            <w:tcW w:w="140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8"/>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2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Systems</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356,212</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(8,507)</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347,705</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368,450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359,943</w:t>
            </w: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Cost of revenue</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286,403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283,946</w:t>
            </w: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w:t>
            </w:r>
          </w:p>
        </w:tc>
        <w:tc>
          <w:tcPr>
            <w:tcW w:w="28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298,343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295,886</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41"/>
        </w:trPr>
        <w:tc>
          <w:tcPr>
            <w:tcW w:w="6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70,107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64,057</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41"/>
        </w:trPr>
        <w:tc>
          <w:tcPr>
            <w:tcW w:w="6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(25,099)</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 and equity method investment</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(18,900)</w:t>
            </w: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(19,072)</w:t>
            </w: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(16,236)</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w:t>
            </w:r>
          </w:p>
        </w:tc>
      </w:tr>
      <w:tr>
        <w:trPr>
          <w:trHeight w:val="241"/>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 of Class A Common Stock:</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7" w:name="page18"/>
    <w:bookmarkEnd w:id="17"/>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Summary of Restatement - Unaudited Condensed Consolidated Statements of Changes in Equity (Deficit)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gridSpan w:val="10"/>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December 30, 2023</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8"/>
        </w:trPr>
        <w:tc>
          <w:tcPr>
            <w:tcW w:w="7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3"/>
        </w:trPr>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680" w:type="dxa"/>
            <w:vAlign w:val="bottom"/>
          </w:tcPr>
          <w:p>
            <w:pPr>
              <w:spacing w:after="0"/>
              <w:rPr>
                <w:sz w:val="16"/>
                <w:szCs w:val="16"/>
                <w:color w:val="auto"/>
              </w:rPr>
            </w:pPr>
          </w:p>
        </w:tc>
      </w:tr>
      <w:tr>
        <w:trPr>
          <w:trHeight w:val="28"/>
        </w:trPr>
        <w:tc>
          <w:tcPr>
            <w:tcW w:w="70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3"/>
        </w:trPr>
        <w:tc>
          <w:tcPr>
            <w:tcW w:w="700" w:type="dxa"/>
            <w:vAlign w:val="bottom"/>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1"/>
        </w:trPr>
        <w:tc>
          <w:tcPr>
            <w:tcW w:w="700" w:type="dxa"/>
            <w:vAlign w:val="bottom"/>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91"/>
        </w:trPr>
        <w:tc>
          <w:tcPr>
            <w:tcW w:w="700" w:type="dxa"/>
            <w:vAlign w:val="bottom"/>
          </w:tcPr>
          <w:p>
            <w:pPr>
              <w:spacing w:after="0"/>
              <w:rPr>
                <w:sz w:val="16"/>
                <w:szCs w:val="16"/>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r>
      <w:tr>
        <w:trPr>
          <w:trHeight w:val="28"/>
        </w:trPr>
        <w:tc>
          <w:tcPr>
            <w:tcW w:w="7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5"/>
        </w:trPr>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(11,039)</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(12,967)</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(5,197)</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8"/>
              </w:rPr>
              <w:t>(16,236)</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(19,072)</w:t>
            </w:r>
          </w:p>
        </w:tc>
      </w:tr>
      <w:tr>
        <w:trPr>
          <w:trHeight w:val="212"/>
        </w:trPr>
        <w:tc>
          <w:tcPr>
            <w:tcW w:w="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93"/>
        </w:trPr>
        <w:tc>
          <w:tcPr>
            <w:tcW w:w="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9"/>
        </w:trPr>
        <w:tc>
          <w:tcPr>
            <w:tcW w:w="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216,828</w:t>
            </w:r>
          </w:p>
        </w:tc>
        <w:tc>
          <w:tcPr>
            <w:tcW w:w="6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158,705</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216,828</w:t>
            </w:r>
          </w:p>
        </w:tc>
        <w:tc>
          <w:tcPr>
            <w:tcW w:w="8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216,828</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158,705</w:t>
            </w:r>
          </w:p>
        </w:tc>
      </w:tr>
      <w:tr>
        <w:trPr>
          <w:trHeight w:val="36"/>
        </w:trPr>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2"/>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8"/>
              </w:rPr>
              <w:t>Balance at</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93"/>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9"/>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30, 2023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$1,474,681</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$(1,312,363)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11,268</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$171,875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$(216,828)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211,631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$(6,105)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$1,257,853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$(1,313,271)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222,899</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$165,770</w:t>
            </w:r>
          </w:p>
        </w:tc>
      </w:tr>
      <w:tr>
        <w:trPr>
          <w:trHeight w:val="36"/>
        </w:trPr>
        <w:tc>
          <w:tcPr>
            <w:tcW w:w="7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340"/>
          </w:cols>
          <w:pgMar w:left="320" w:top="171" w:right="239" w:bottom="1440" w:gutter="0" w:footer="0" w:header="0"/>
        </w:sectPr>
      </w:pPr>
    </w:p>
    <w:bookmarkStart w:id="18" w:name="page19"/>
    <w:bookmarkEnd w:id="18"/>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Summary of Restatement - Unaudited Condensed Consolidated Statements of Cash Flows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63500</wp:posOffset>
            </wp:positionV>
            <wp:extent cx="329819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98190" cy="7620"/>
                    </a:xfrm>
                    <a:prstGeom prst="rect">
                      <a:avLst/>
                    </a:prstGeom>
                    <a:noFill/>
                  </pic:spPr>
                </pic:pic>
              </a:graphicData>
            </a:graphic>
          </wp:anchor>
        </w:drawing>
      </w:r>
    </w:p>
    <w:p>
      <w:pPr>
        <w:spacing w:after="0" w:line="102"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30, 2023</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CCEEFF"/>
            </w:tcBorders>
            <w:gridSpan w:val="3"/>
            <w:shd w:val="clear" w:color="auto" w:fill="CCEEFF"/>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7"/>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Cash flows from operating activities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36"/>
        </w:trPr>
        <w:tc>
          <w:tcPr>
            <w:tcW w:w="2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(12,967)</w:t>
            </w:r>
          </w:p>
        </w:tc>
        <w:tc>
          <w:tcPr>
            <w:tcW w:w="5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center"/>
              <w:ind w:left="621"/>
              <w:spacing w:after="0"/>
              <w:rPr>
                <w:sz w:val="20"/>
                <w:szCs w:val="20"/>
                <w:color w:val="auto"/>
              </w:rPr>
            </w:pPr>
            <w:r>
              <w:rPr>
                <w:rFonts w:ascii="Times New Roman" w:cs="Times New Roman" w:eastAsia="Times New Roman" w:hAnsi="Times New Roman"/>
                <w:sz w:val="16"/>
                <w:szCs w:val="16"/>
                <w:color w:val="auto"/>
                <w:w w:val="98"/>
              </w:rPr>
              <w:t>(6,105)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(19,072)</w:t>
            </w:r>
          </w:p>
        </w:tc>
      </w:tr>
      <w:tr>
        <w:trPr>
          <w:trHeight w:val="217"/>
        </w:trPr>
        <w:tc>
          <w:tcPr>
            <w:tcW w:w="36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6"/>
        </w:trPr>
        <w:tc>
          <w:tcPr>
            <w:tcW w:w="22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3"/>
        </w:trPr>
        <w:tc>
          <w:tcPr>
            <w:tcW w:w="36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(41,160)</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center"/>
              <w:ind w:left="641"/>
              <w:spacing w:after="0"/>
              <w:rPr>
                <w:sz w:val="20"/>
                <w:szCs w:val="20"/>
                <w:color w:val="auto"/>
              </w:rPr>
            </w:pPr>
            <w:r>
              <w:rPr>
                <w:rFonts w:ascii="Times New Roman" w:cs="Times New Roman" w:eastAsia="Times New Roman" w:hAnsi="Times New Roman"/>
                <w:sz w:val="16"/>
                <w:szCs w:val="16"/>
                <w:color w:val="auto"/>
                <w:w w:val="99"/>
              </w:rPr>
              <w:t>8,507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(32,653)</w:t>
            </w:r>
          </w:p>
        </w:tc>
      </w:tr>
      <w:tr>
        <w:trPr>
          <w:trHeight w:val="217"/>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center"/>
              <w:ind w:left="621"/>
              <w:spacing w:after="0"/>
              <w:rPr>
                <w:sz w:val="20"/>
                <w:szCs w:val="20"/>
                <w:color w:val="auto"/>
              </w:rPr>
            </w:pPr>
            <w:r>
              <w:rPr>
                <w:rFonts w:ascii="Times New Roman" w:cs="Times New Roman" w:eastAsia="Times New Roman" w:hAnsi="Times New Roman"/>
                <w:sz w:val="16"/>
                <w:szCs w:val="16"/>
                <w:color w:val="auto"/>
                <w:w w:val="98"/>
              </w:rPr>
              <w:t>(3,431)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(7,261)</w:t>
            </w:r>
          </w:p>
        </w:tc>
      </w:tr>
      <w:tr>
        <w:trPr>
          <w:trHeight w:val="36"/>
        </w:trPr>
        <w:tc>
          <w:tcPr>
            <w:tcW w:w="22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3"/>
        </w:trPr>
        <w:tc>
          <w:tcPr>
            <w:tcW w:w="36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14,687</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center"/>
              <w:ind w:left="641"/>
              <w:spacing w:after="0"/>
              <w:rPr>
                <w:sz w:val="20"/>
                <w:szCs w:val="20"/>
                <w:color w:val="auto"/>
              </w:rPr>
            </w:pPr>
            <w:r>
              <w:rPr>
                <w:rFonts w:ascii="Times New Roman" w:cs="Times New Roman" w:eastAsia="Times New Roman" w:hAnsi="Times New Roman"/>
                <w:sz w:val="16"/>
                <w:szCs w:val="16"/>
                <w:color w:val="auto"/>
                <w:w w:val="99"/>
              </w:rPr>
              <w:t>1,029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15,716</w:t>
            </w:r>
          </w:p>
        </w:tc>
      </w:tr>
      <w:tr>
        <w:trPr>
          <w:trHeight w:val="373"/>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4. Noncontrolling Interests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1"/>
        </w:trPr>
        <w:tc>
          <w:tcPr>
            <w:tcW w:w="8260" w:type="dxa"/>
            <w:vAlign w:val="bottom"/>
            <w:gridSpan w:val="12"/>
          </w:tcPr>
          <w:p>
            <w:pPr>
              <w:ind w:left="280"/>
              <w:spacing w:after="0"/>
              <w:rPr>
                <w:sz w:val="20"/>
                <w:szCs w:val="20"/>
                <w:color w:val="auto"/>
              </w:rPr>
            </w:pPr>
            <w:r>
              <w:rPr>
                <w:rFonts w:ascii="Times New Roman" w:cs="Times New Roman" w:eastAsia="Times New Roman" w:hAnsi="Times New Roman"/>
                <w:sz w:val="16"/>
                <w:szCs w:val="16"/>
                <w:color w:val="auto"/>
              </w:rPr>
              <w:t>Noncontrolling interests represent the portion of net assets in consolidated entities that are not owned by the Company.</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1"/>
        </w:trPr>
        <w:tc>
          <w:tcPr>
            <w:tcW w:w="8260" w:type="dxa"/>
            <w:vAlign w:val="bottom"/>
            <w:gridSpan w:val="12"/>
          </w:tcPr>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ownership of Symbotic Inc. stock for the three months ended December 30, 2023.</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3"/>
        </w:trPr>
        <w:tc>
          <w:tcPr>
            <w:tcW w:w="2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V-1 and Class V-</w:t>
            </w:r>
          </w:p>
        </w:tc>
        <w:tc>
          <w:tcPr>
            <w:tcW w:w="8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V-1 and Class V-3</w:t>
            </w:r>
          </w:p>
        </w:tc>
        <w:tc>
          <w:tcPr>
            <w:tcW w:w="1300" w:type="dxa"/>
            <w:vAlign w:val="bottom"/>
          </w:tcPr>
          <w:p>
            <w:pPr>
              <w:spacing w:after="0"/>
              <w:rPr>
                <w:sz w:val="22"/>
                <w:szCs w:val="22"/>
                <w:color w:val="auto"/>
              </w:rPr>
            </w:pPr>
          </w:p>
        </w:tc>
      </w:tr>
      <w:tr>
        <w:trPr>
          <w:trHeight w:val="191"/>
        </w:trPr>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3 Common Stock</w:t>
            </w:r>
          </w:p>
        </w:tc>
        <w:tc>
          <w:tcPr>
            <w:tcW w:w="15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80" w:type="dxa"/>
            <w:vAlign w:val="bottom"/>
          </w:tcPr>
          <w:p>
            <w:pPr>
              <w:spacing w:after="0"/>
              <w:rPr>
                <w:sz w:val="16"/>
                <w:szCs w:val="16"/>
                <w:color w:val="auto"/>
              </w:rPr>
            </w:pPr>
          </w:p>
        </w:tc>
        <w:tc>
          <w:tcPr>
            <w:tcW w:w="1240" w:type="dxa"/>
            <w:vAlign w:val="bottom"/>
            <w:gridSpan w:val="2"/>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8"/>
        </w:trPr>
        <w:tc>
          <w:tcPr>
            <w:tcW w:w="2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5"/>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82,112,881</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474,460,038</w:t>
            </w: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556,572,919</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17"/>
        </w:trPr>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Issuances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665,842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15,870,411</w:t>
            </w: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16,536,253</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6"/>
        </w:trPr>
        <w:tc>
          <w:tcPr>
            <w:tcW w:w="2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2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Exchanges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2,327,865</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(2,327,865)</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39"/>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30, 2023</w:t>
            </w: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85,106,588</w:t>
            </w:r>
          </w:p>
        </w:tc>
        <w:tc>
          <w:tcPr>
            <w:tcW w:w="100" w:type="dxa"/>
            <w:vAlign w:val="bottom"/>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488,002,584</w:t>
            </w:r>
          </w:p>
        </w:tc>
        <w:tc>
          <w:tcPr>
            <w:tcW w:w="80" w:type="dxa"/>
            <w:vAlign w:val="bottom"/>
          </w:tcPr>
          <w:p>
            <w:pPr>
              <w:spacing w:after="0"/>
              <w:rPr>
                <w:sz w:val="20"/>
                <w:szCs w:val="20"/>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573,109,172</w:t>
            </w:r>
          </w:p>
        </w:tc>
        <w:tc>
          <w:tcPr>
            <w:tcW w:w="80" w:type="dxa"/>
            <w:vAlign w:val="bottom"/>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14.8 %</w:t>
            </w:r>
          </w:p>
        </w:tc>
        <w:tc>
          <w:tcPr>
            <w:tcW w:w="80" w:type="dxa"/>
            <w:vAlign w:val="bottom"/>
          </w:tcPr>
          <w:p>
            <w:pPr>
              <w:spacing w:after="0"/>
              <w:rPr>
                <w:sz w:val="20"/>
                <w:szCs w:val="20"/>
                <w:color w:val="auto"/>
              </w:rPr>
            </w:pPr>
          </w:p>
        </w:tc>
        <w:tc>
          <w:tcPr>
            <w:tcW w:w="1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85.2 %</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2"/>
        </w:trPr>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Revenue (As Restated)</w:t>
      </w:r>
    </w:p>
    <w:p>
      <w:pPr>
        <w:spacing w:after="0" w:line="59" w:lineRule="exact"/>
        <w:rPr>
          <w:sz w:val="20"/>
          <w:szCs w:val="20"/>
          <w:color w:val="auto"/>
        </w:rPr>
      </w:pPr>
    </w:p>
    <w:p>
      <w:pPr>
        <w:ind w:right="20" w:firstLine="289"/>
        <w:spacing w:after="0" w:line="256" w:lineRule="auto"/>
        <w:rPr>
          <w:sz w:val="20"/>
          <w:szCs w:val="20"/>
          <w:color w:val="auto"/>
        </w:rPr>
      </w:pPr>
      <w:r>
        <w:rPr>
          <w:rFonts w:ascii="Times New Roman" w:cs="Times New Roman" w:eastAsia="Times New Roman" w:hAnsi="Times New Roman"/>
          <w:sz w:val="16"/>
          <w:szCs w:val="16"/>
          <w:color w:val="auto"/>
        </w:rPr>
        <w:t>The Company generates revenue through its design and installation of modular inventory management systems (the “Systems”) to automate customers’ depalletizing, storage, selection, and palletization warehousing processes. The Systems have both a hardware component and an embedded software component that enables the system to be programmed to operate within specific customer environments. The Company enters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The Company determines whether performance obligations are distinct based on whether the customer can benefit from the product or service on its own or together with other resources that are readily available and whether the Company’s commitment to provide the services to the customer is separately identifiable from other obligations in the contract.</w:t>
      </w:r>
    </w:p>
    <w:p>
      <w:pPr>
        <w:spacing w:after="0" w:line="24" w:lineRule="exact"/>
        <w:rPr>
          <w:sz w:val="20"/>
          <w:szCs w:val="20"/>
          <w:color w:val="auto"/>
        </w:rPr>
      </w:pPr>
    </w:p>
    <w:p>
      <w:pPr>
        <w:ind w:right="20" w:firstLine="289"/>
        <w:spacing w:after="0" w:line="258" w:lineRule="auto"/>
        <w:rPr>
          <w:sz w:val="20"/>
          <w:szCs w:val="20"/>
          <w:color w:val="auto"/>
        </w:rPr>
      </w:pPr>
      <w:r>
        <w:rPr>
          <w:rFonts w:ascii="Times New Roman" w:cs="Times New Roman" w:eastAsia="Times New Roman" w:hAnsi="Times New Roman"/>
          <w:sz w:val="16"/>
          <w:szCs w:val="16"/>
          <w:color w:val="auto"/>
        </w:rPr>
        <w:t>The Company recognizes revenue upon transfer of control of promised goods or services in a contract with a customer, generally as title and risk of loss pass to the customer, in an amount that reflects the consideration the Company expects to receive in exchange for those products or services. Revenue is recognized only to the extent that it is probable that a significant reversal of revenue will not occur and when collection is considered probable. In instances where the timing of revenue recognition differs from the timing of invoicing, the Company has determined its contracts do not include 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control transfers to the customer. The Company presents amounts collected from customers for sales and other taxes net of the related amounts remitted.</w:t>
      </w:r>
    </w:p>
    <w:p>
      <w:pPr>
        <w:spacing w:after="0" w:line="18" w:lineRule="exact"/>
        <w:rPr>
          <w:sz w:val="20"/>
          <w:szCs w:val="20"/>
          <w:color w:val="auto"/>
        </w:rPr>
      </w:pPr>
    </w:p>
    <w:p>
      <w:pPr>
        <w:ind w:right="140" w:firstLine="289"/>
        <w:spacing w:after="0" w:line="262" w:lineRule="auto"/>
        <w:rPr>
          <w:sz w:val="20"/>
          <w:szCs w:val="20"/>
          <w:color w:val="auto"/>
        </w:rPr>
      </w:pPr>
      <w:r>
        <w:rPr>
          <w:rFonts w:ascii="Times New Roman" w:cs="Times New Roman" w:eastAsia="Times New Roman" w:hAnsi="Times New Roman"/>
          <w:sz w:val="16"/>
          <w:szCs w:val="16"/>
          <w:color w:val="auto"/>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9" w:name="page20"/>
    <w:bookmarkEnd w:id="19"/>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Disaggregation of Revenue</w:t>
      </w:r>
    </w:p>
    <w:p>
      <w:pPr>
        <w:spacing w:after="0" w:line="59" w:lineRule="exact"/>
        <w:rPr>
          <w:sz w:val="20"/>
          <w:szCs w:val="20"/>
          <w:color w:val="auto"/>
        </w:rPr>
      </w:pPr>
    </w:p>
    <w:p>
      <w:pPr>
        <w:ind w:right="420" w:firstLine="289"/>
        <w:spacing w:after="0" w:line="284" w:lineRule="auto"/>
        <w:rPr>
          <w:sz w:val="20"/>
          <w:szCs w:val="20"/>
          <w:color w:val="auto"/>
        </w:rPr>
      </w:pPr>
      <w:r>
        <w:rPr>
          <w:rFonts w:ascii="Times New Roman" w:cs="Times New Roman" w:eastAsia="Times New Roman" w:hAnsi="Times New Roman"/>
          <w:sz w:val="16"/>
          <w:szCs w:val="16"/>
          <w:color w:val="auto"/>
        </w:rPr>
        <w:t>The Company provides disaggregation of revenue based on product and service type on the consolidated statements of operations as it believes these categories best depict how the nature, amount, timing, and uncertainty of revenue and cash flows are affected by economic factors.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 Balances</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provides information about accounts receivable, unbilled accounts receivable, and contract liabilities from contracts with customers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40" w:type="dxa"/>
            <w:vAlign w:val="bottom"/>
          </w:tcPr>
          <w:p>
            <w:pPr>
              <w:spacing w:after="0"/>
              <w:rPr>
                <w:sz w:val="16"/>
                <w:szCs w:val="16"/>
                <w:color w:val="auto"/>
              </w:rPr>
            </w:pPr>
          </w:p>
        </w:tc>
        <w:tc>
          <w:tcPr>
            <w:tcW w:w="17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8"/>
        </w:trPr>
        <w:tc>
          <w:tcPr>
            <w:tcW w:w="7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3"/>
        </w:trPr>
        <w:tc>
          <w:tcPr>
            <w:tcW w:w="7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8"/>
        </w:trPr>
        <w:tc>
          <w:tcPr>
            <w:tcW w:w="7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153,058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69,206</w:t>
            </w:r>
          </w:p>
        </w:tc>
      </w:tr>
      <w:tr>
        <w:trPr>
          <w:trHeight w:val="21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139,449</w:t>
            </w:r>
          </w:p>
        </w:tc>
        <w:tc>
          <w:tcPr>
            <w:tcW w:w="8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121,149</w:t>
            </w:r>
          </w:p>
        </w:tc>
      </w:tr>
      <w:tr>
        <w:trPr>
          <w:trHeight w:val="36"/>
        </w:trPr>
        <w:tc>
          <w:tcPr>
            <w:tcW w:w="7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1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857,197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787,227</w:t>
            </w:r>
          </w:p>
        </w:tc>
      </w:tr>
      <w:tr>
        <w:trPr>
          <w:trHeight w:val="36"/>
        </w:trPr>
        <w:tc>
          <w:tcPr>
            <w:tcW w:w="71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r>
    </w:tbl>
    <w:p>
      <w:pPr>
        <w:spacing w:after="0" w:line="116" w:lineRule="exact"/>
        <w:rPr>
          <w:sz w:val="20"/>
          <w:szCs w:val="20"/>
          <w:color w:val="auto"/>
        </w:rPr>
      </w:pPr>
    </w:p>
    <w:p>
      <w:pPr>
        <w:ind w:right="120" w:firstLine="289"/>
        <w:spacing w:after="0" w:line="256" w:lineRule="auto"/>
        <w:rPr>
          <w:sz w:val="20"/>
          <w:szCs w:val="20"/>
          <w:color w:val="auto"/>
        </w:rPr>
      </w:pPr>
      <w:r>
        <w:rPr>
          <w:rFonts w:ascii="Times New Roman" w:cs="Times New Roman" w:eastAsia="Times New Roman" w:hAnsi="Times New Roman"/>
          <w:sz w:val="16"/>
          <w:szCs w:val="16"/>
          <w:color w:val="auto"/>
        </w:rPr>
        <w:t>The change in the opening and closing balances of the Company’s accounts receivable primarily results from the increase in customer system implementations in the current fiscal year as well as the timing of when customer payments are due. The change in the opening and closing balances of the Company’s contract liabilities primarily results from the timing difference between the Company’s performance and customer payments. The Company’s performance obligations are typically satisfied over time as work is performed. Payment from customers can vary, and is often received in advance of satisfaction of the performance obligations, resulting in a contract liability balance. During the three months ended December 30, 2023, the Company recognized $249.7 million of the contract liability balance at September 30, 2023, as revenue upon transfer of the products or services to customers. During the three months ended December 24, 2022, the Company recognized $196.6 million of the contract liability balance at September 24, 2022, as revenue upon transfer of the products or services to customers.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Remaining Performance Obligations</w:t>
      </w:r>
    </w:p>
    <w:p>
      <w:pPr>
        <w:spacing w:after="0" w:line="59" w:lineRule="exact"/>
        <w:rPr>
          <w:sz w:val="20"/>
          <w:szCs w:val="20"/>
          <w:color w:val="auto"/>
        </w:rPr>
      </w:pPr>
    </w:p>
    <w:p>
      <w:pPr>
        <w:ind w:right="40" w:firstLine="289"/>
        <w:spacing w:after="0" w:line="254" w:lineRule="auto"/>
        <w:rPr>
          <w:sz w:val="20"/>
          <w:szCs w:val="20"/>
          <w:color w:val="auto"/>
        </w:rPr>
      </w:pPr>
      <w:r>
        <w:rPr>
          <w:rFonts w:ascii="Times New Roman" w:cs="Times New Roman" w:eastAsia="Times New Roman" w:hAnsi="Times New Roman"/>
          <w:sz w:val="16"/>
          <w:szCs w:val="16"/>
          <w:color w:val="auto"/>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 Remaining performance obligation estimates are subject to change and are affected by several factors, including terminations, changes in scope of contracts, periodic revalidation, adjustments for revenue that have not materialized, adjustments for inflation, and adjustments for currency. For contracts with a duration of greater than one year, the transaction price allocated to performance obligations that are unsatisfied as of December 30, 2023 was $23.2 billion, which is primarily comprised of undelivered or partially undelivered Systems under contract, and which a substantial majority relates to undelivered or partially undelivered Systems in connection with the Master Automation Agreement with Walmart Inc. (“Walmart”) to implement Systems in all of Walmart’s 42 regional distribution centers, and in connection with the Commercial Agreement with GreenBox (as defined below) under which Symbotic will implement its warehouse automation system into GreenBox distribution center locations. The definition of remaining performance obligations excludes those contracts that provide the customer with the right to cancel or terminate the contract without incurring a substantial penalty. The Company expects to recognize approximately 9% of its remaining performance obligations as revenue in the next 12 months, approximately 60% of its remaining performance obligations as revenue within 5 years, and the remaining thereafter, which is dependent on the timing of System installation timelines. The Company does not disclose the value of remaining performance obligations for contracts with an original expected duration of one year or less.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Significant Customers</w:t>
      </w:r>
    </w:p>
    <w:p>
      <w:pPr>
        <w:spacing w:after="0" w:line="59" w:lineRule="exact"/>
        <w:rPr>
          <w:sz w:val="20"/>
          <w:szCs w:val="20"/>
          <w:color w:val="auto"/>
        </w:rPr>
      </w:pPr>
    </w:p>
    <w:p>
      <w:pPr>
        <w:jc w:val="both"/>
        <w:ind w:right="300" w:firstLine="289"/>
        <w:spacing w:after="0" w:line="267" w:lineRule="auto"/>
        <w:rPr>
          <w:sz w:val="20"/>
          <w:szCs w:val="20"/>
          <w:color w:val="auto"/>
        </w:rPr>
      </w:pPr>
      <w:r>
        <w:rPr>
          <w:rFonts w:ascii="Times New Roman" w:cs="Times New Roman" w:eastAsia="Times New Roman" w:hAnsi="Times New Roman"/>
          <w:sz w:val="16"/>
          <w:szCs w:val="16"/>
          <w:color w:val="auto"/>
        </w:rPr>
        <w:t>For the three months ended December 30, 2023, there was one customer that individually accounted for 10% or more of total revenue, and for the three months ended December 24, 2022, there were two customers that accounted for 10% or more of total revenue. The following table represents these customers’ aggregate percent of total revenue. The symbol “n/a” indicates that such customer did not exceed 10% or more of total revenue for the period indicated within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0" w:name="page21"/>
    <w:bookmarkEnd w:id="20"/>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20" w:type="dxa"/>
            <w:vAlign w:val="bottom"/>
          </w:tcPr>
          <w:p>
            <w:pPr>
              <w:spacing w:after="0"/>
              <w:rPr>
                <w:sz w:val="16"/>
                <w:szCs w:val="16"/>
                <w:color w:val="auto"/>
              </w:rPr>
            </w:pPr>
          </w:p>
        </w:tc>
        <w:tc>
          <w:tcPr>
            <w:tcW w:w="3240" w:type="dxa"/>
            <w:vAlign w:val="bottom"/>
            <w:gridSpan w:val="3"/>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8"/>
        </w:trPr>
        <w:tc>
          <w:tcPr>
            <w:tcW w:w="802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3"/>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5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December 24, 2022</w:t>
            </w:r>
          </w:p>
        </w:tc>
      </w:tr>
      <w:tr>
        <w:trPr>
          <w:trHeight w:val="28"/>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3"/>
        </w:trPr>
        <w:tc>
          <w:tcPr>
            <w:tcW w:w="802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580" w:type="dxa"/>
            <w:vAlign w:val="bottom"/>
          </w:tcPr>
          <w:p>
            <w:pPr>
              <w:spacing w:after="0"/>
              <w:rPr>
                <w:sz w:val="16"/>
                <w:szCs w:val="16"/>
                <w:color w:val="auto"/>
              </w:rPr>
            </w:pPr>
          </w:p>
        </w:tc>
      </w:tr>
      <w:tr>
        <w:trPr>
          <w:trHeight w:val="28"/>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82.0 %</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81.4 %</w:t>
            </w:r>
          </w:p>
        </w:tc>
      </w:tr>
      <w:tr>
        <w:trPr>
          <w:trHeight w:val="217"/>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B</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10.5 %</w:t>
            </w:r>
          </w:p>
        </w:tc>
      </w:tr>
      <w:tr>
        <w:trPr>
          <w:trHeight w:val="36"/>
        </w:trPr>
        <w:tc>
          <w:tcPr>
            <w:tcW w:w="80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Aggregate Percent of Total Revenue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82.0 %</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91.9 %</w:t>
            </w:r>
          </w:p>
        </w:tc>
      </w:tr>
      <w:tr>
        <w:trPr>
          <w:trHeight w:val="36"/>
        </w:trPr>
        <w:tc>
          <w:tcPr>
            <w:tcW w:w="802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bl>
    <w:p>
      <w:pPr>
        <w:spacing w:after="0" w:line="381" w:lineRule="exact"/>
        <w:rPr>
          <w:sz w:val="20"/>
          <w:szCs w:val="20"/>
          <w:color w:val="auto"/>
        </w:rPr>
      </w:pPr>
    </w:p>
    <w:p>
      <w:pPr>
        <w:ind w:right="240" w:firstLine="289"/>
        <w:spacing w:after="0" w:line="267" w:lineRule="auto"/>
        <w:rPr>
          <w:sz w:val="20"/>
          <w:szCs w:val="20"/>
          <w:color w:val="auto"/>
        </w:rPr>
      </w:pPr>
      <w:r>
        <w:rPr>
          <w:rFonts w:ascii="Times New Roman" w:cs="Times New Roman" w:eastAsia="Times New Roman" w:hAnsi="Times New Roman"/>
          <w:sz w:val="16"/>
          <w:szCs w:val="16"/>
          <w:color w:val="auto"/>
        </w:rPr>
        <w:t>At December 30, 2023, one customer accounted for over 10% of the Company’s accounts receivable balance, and two customers accounted for over 10% of the Company’s accounts receivable balance at September 30, 2023. The following table represents these customers’ aggregate percent of total accounts receivable. The symbol “n/a” indicates that such customer’s accounts receivable balance at the period indicated within the table did not exceed 10% of the Company’s accounts receivable balance.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40" w:type="dxa"/>
            <w:vAlign w:val="bottom"/>
          </w:tcPr>
          <w:p>
            <w:pPr>
              <w:spacing w:after="0"/>
              <w:rPr>
                <w:sz w:val="16"/>
                <w:szCs w:val="16"/>
                <w:color w:val="auto"/>
              </w:rPr>
            </w:pPr>
          </w:p>
        </w:tc>
        <w:tc>
          <w:tcPr>
            <w:tcW w:w="22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1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8"/>
        </w:trPr>
        <w:tc>
          <w:tcPr>
            <w:tcW w:w="694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5"/>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85.0 %</w:t>
            </w:r>
          </w:p>
        </w:tc>
        <w:tc>
          <w:tcPr>
            <w:tcW w:w="8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86.6 %</w:t>
            </w:r>
          </w:p>
        </w:tc>
      </w:tr>
      <w:tr>
        <w:trPr>
          <w:trHeight w:val="21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B</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r>
      <w:tr>
        <w:trPr>
          <w:trHeight w:val="36"/>
        </w:trPr>
        <w:tc>
          <w:tcPr>
            <w:tcW w:w="6940" w:type="dxa"/>
            <w:vAlign w:val="bottom"/>
            <w:tcBorders>
              <w:bottom w:val="single" w:sz="8" w:color="CCEE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r>
      <w:tr>
        <w:trPr>
          <w:trHeight w:val="20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Aggregate Percent of Total Accounts Receivable</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85.0 %</w:t>
            </w: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96.9 %</w:t>
            </w:r>
          </w:p>
        </w:tc>
      </w:tr>
      <w:tr>
        <w:trPr>
          <w:trHeight w:val="36"/>
        </w:trPr>
        <w:tc>
          <w:tcPr>
            <w:tcW w:w="694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r>
    </w:tbl>
    <w:p>
      <w:pPr>
        <w:spacing w:after="0" w:line="104" w:lineRule="exact"/>
        <w:rPr>
          <w:sz w:val="20"/>
          <w:szCs w:val="20"/>
          <w:color w:val="auto"/>
        </w:rPr>
      </w:pPr>
    </w:p>
    <w:p>
      <w:pPr>
        <w:ind w:right="180" w:firstLine="289"/>
        <w:spacing w:after="0" w:line="267" w:lineRule="auto"/>
        <w:rPr>
          <w:sz w:val="20"/>
          <w:szCs w:val="20"/>
          <w:color w:val="auto"/>
        </w:rPr>
      </w:pPr>
      <w:r>
        <w:rPr>
          <w:rFonts w:ascii="Times New Roman" w:cs="Times New Roman" w:eastAsia="Times New Roman" w:hAnsi="Times New Roman"/>
          <w:sz w:val="16"/>
          <w:szCs w:val="16"/>
          <w:color w:val="auto"/>
        </w:rPr>
        <w:t>The concentration in the volume of business transacted with these customers may lead to a material impact on the Company’s results from operations if a total or partial loss of the business relationship were to occur. As of the date of the issuance of these financial statements, the Company is not aware of any specific event or circumstance which would result in a material adverse impact to its results of operations or liquidity and financial condition.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Leases</w:t>
      </w:r>
    </w:p>
    <w:p>
      <w:pPr>
        <w:spacing w:after="0" w:line="59" w:lineRule="exact"/>
        <w:rPr>
          <w:sz w:val="20"/>
          <w:szCs w:val="20"/>
          <w:color w:val="auto"/>
        </w:rPr>
      </w:pPr>
    </w:p>
    <w:p>
      <w:pPr>
        <w:ind w:right="440" w:firstLine="289"/>
        <w:spacing w:after="0" w:line="282" w:lineRule="auto"/>
        <w:rPr>
          <w:sz w:val="20"/>
          <w:szCs w:val="20"/>
          <w:color w:val="auto"/>
        </w:rPr>
      </w:pPr>
      <w:r>
        <w:rPr>
          <w:rFonts w:ascii="Times New Roman" w:cs="Times New Roman" w:eastAsia="Times New Roman" w:hAnsi="Times New Roman"/>
          <w:sz w:val="16"/>
          <w:szCs w:val="16"/>
          <w:color w:val="auto"/>
        </w:rPr>
        <w:t>The Company leases office space in Wilmington, MA and Montreal, QC through operating lease arrangements. The Company has no finance lease agreements. The operating lease arrangements expire at various dates through December 2030.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presents the balance sheet location of the Company’s operating leases for each of the periods presented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20" w:type="dxa"/>
            <w:vAlign w:val="bottom"/>
          </w:tcPr>
          <w:p>
            <w:pPr>
              <w:spacing w:after="0"/>
              <w:rPr>
                <w:sz w:val="19"/>
                <w:szCs w:val="19"/>
                <w:color w:val="auto"/>
              </w:rPr>
            </w:pPr>
          </w:p>
        </w:tc>
        <w:tc>
          <w:tcPr>
            <w:tcW w:w="180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8"/>
        </w:trPr>
        <w:tc>
          <w:tcPr>
            <w:tcW w:w="7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w:t>
            </w:r>
          </w:p>
        </w:tc>
        <w:tc>
          <w:tcPr>
            <w:tcW w:w="26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r>
      <w:tr>
        <w:trPr>
          <w:trHeight w:val="217"/>
        </w:trPr>
        <w:tc>
          <w:tcPr>
            <w:tcW w:w="7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17,609</w:t>
            </w:r>
          </w:p>
        </w:tc>
        <w:tc>
          <w:tcPr>
            <w:tcW w:w="8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12,398</w:t>
            </w:r>
          </w:p>
        </w:tc>
      </w:tr>
      <w:tr>
        <w:trPr>
          <w:trHeight w:val="36"/>
        </w:trPr>
        <w:tc>
          <w:tcPr>
            <w:tcW w:w="7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41"/>
        </w:trPr>
        <w:tc>
          <w:tcPr>
            <w:tcW w:w="7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1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6"/>
        </w:trPr>
        <w:tc>
          <w:tcPr>
            <w:tcW w:w="7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33"/>
        </w:trPr>
        <w:tc>
          <w:tcPr>
            <w:tcW w:w="7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r>
      <w:tr>
        <w:trPr>
          <w:trHeight w:val="217"/>
        </w:trPr>
        <w:tc>
          <w:tcPr>
            <w:tcW w:w="7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12,291</w:t>
            </w:r>
          </w:p>
        </w:tc>
      </w:tr>
      <w:tr>
        <w:trPr>
          <w:trHeight w:val="36"/>
        </w:trPr>
        <w:tc>
          <w:tcPr>
            <w:tcW w:w="7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64"/>
        </w:trPr>
        <w:tc>
          <w:tcPr>
            <w:tcW w:w="7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lease liabilities</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presents maturities of the Company’s operating lease liabilities as of December 30, 2023, presented under ASC Topic 842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28"/>
        </w:trPr>
        <w:tc>
          <w:tcPr>
            <w:tcW w:w="9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5"/>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fiscal year 2024</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2,370</w:t>
            </w:r>
          </w:p>
        </w:tc>
      </w:tr>
      <w:tr>
        <w:trPr>
          <w:trHeight w:val="217"/>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2025</w:t>
            </w:r>
          </w:p>
        </w:tc>
        <w:tc>
          <w:tcPr>
            <w:tcW w:w="2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3,113</w:t>
            </w:r>
          </w:p>
        </w:tc>
      </w:tr>
      <w:tr>
        <w:trPr>
          <w:trHeight w:val="36"/>
        </w:trPr>
        <w:tc>
          <w:tcPr>
            <w:tcW w:w="9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33"/>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2026</w:t>
            </w:r>
          </w:p>
        </w:tc>
        <w:tc>
          <w:tcPr>
            <w:tcW w:w="2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3,524</w:t>
            </w:r>
          </w:p>
        </w:tc>
      </w:tr>
      <w:tr>
        <w:trPr>
          <w:trHeight w:val="217"/>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2027</w:t>
            </w:r>
          </w:p>
        </w:tc>
        <w:tc>
          <w:tcPr>
            <w:tcW w:w="2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3,681</w:t>
            </w:r>
          </w:p>
        </w:tc>
      </w:tr>
      <w:tr>
        <w:trPr>
          <w:trHeight w:val="36"/>
        </w:trPr>
        <w:tc>
          <w:tcPr>
            <w:tcW w:w="9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53"/>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2028 and thereafter</w:t>
            </w:r>
          </w:p>
        </w:tc>
        <w:tc>
          <w:tcPr>
            <w:tcW w:w="2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12,747</w:t>
            </w:r>
          </w:p>
        </w:tc>
      </w:tr>
      <w:tr>
        <w:trPr>
          <w:trHeight w:val="209"/>
        </w:trPr>
        <w:tc>
          <w:tcPr>
            <w:tcW w:w="9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future minimum payments</w:t>
            </w:r>
          </w:p>
        </w:tc>
        <w:tc>
          <w:tcPr>
            <w:tcW w:w="26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25,435</w:t>
            </w:r>
          </w:p>
        </w:tc>
      </w:tr>
      <w:tr>
        <w:trPr>
          <w:trHeight w:val="36"/>
        </w:trPr>
        <w:tc>
          <w:tcPr>
            <w:tcW w:w="9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53"/>
        </w:trPr>
        <w:tc>
          <w:tcPr>
            <w:tcW w:w="9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Implied interest</w:t>
            </w:r>
          </w:p>
        </w:tc>
        <w:tc>
          <w:tcPr>
            <w:tcW w:w="2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w:t>
            </w:r>
          </w:p>
        </w:tc>
      </w:tr>
      <w:tr>
        <w:trPr>
          <w:trHeight w:val="239"/>
        </w:trPr>
        <w:tc>
          <w:tcPr>
            <w:tcW w:w="9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lease liabilities</w:t>
            </w: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19,243</w:t>
            </w:r>
          </w:p>
        </w:tc>
      </w:tr>
      <w:tr>
        <w:trPr>
          <w:trHeight w:val="22"/>
        </w:trPr>
        <w:tc>
          <w:tcPr>
            <w:tcW w:w="9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1" w:name="page22"/>
    <w:bookmarkEnd w:id="21"/>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0" w:firstLine="289"/>
        <w:spacing w:after="0" w:line="262" w:lineRule="auto"/>
        <w:rPr>
          <w:sz w:val="20"/>
          <w:szCs w:val="20"/>
          <w:color w:val="auto"/>
        </w:rPr>
      </w:pPr>
      <w:r>
        <w:rPr>
          <w:rFonts w:ascii="Times New Roman" w:cs="Times New Roman" w:eastAsia="Times New Roman" w:hAnsi="Times New Roman"/>
          <w:sz w:val="16"/>
          <w:szCs w:val="16"/>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December 30, 2023 was 7.9%.</w:t>
      </w:r>
    </w:p>
    <w:p>
      <w:pPr>
        <w:spacing w:after="0" w:line="16" w:lineRule="exact"/>
        <w:rPr>
          <w:sz w:val="20"/>
          <w:szCs w:val="20"/>
          <w:color w:val="auto"/>
        </w:rPr>
      </w:pPr>
    </w:p>
    <w:p>
      <w:pPr>
        <w:ind w:right="80" w:firstLine="289"/>
        <w:spacing w:after="0" w:line="284" w:lineRule="auto"/>
        <w:rPr>
          <w:sz w:val="20"/>
          <w:szCs w:val="20"/>
          <w:color w:val="auto"/>
        </w:rPr>
      </w:pPr>
      <w:r>
        <w:rPr>
          <w:rFonts w:ascii="Times New Roman" w:cs="Times New Roman" w:eastAsia="Times New Roman" w:hAnsi="Times New Roman"/>
          <w:sz w:val="16"/>
          <w:szCs w:val="16"/>
          <w:color w:val="auto"/>
        </w:rPr>
        <w:t>As of December 30, 2023, the weighted-average remaining lease term of the Company’s operating leases was approximately 6.2 years. Operating cash flows for amounts included in the measurement of the Company’s operating lease liabilities were $0.3 for the three months ended December 30, 2023.</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Inventories</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Inventories at December 30, 2023 and September 30, 2023 consist of the following (in thousands):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7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60" w:type="dxa"/>
            <w:vAlign w:val="bottom"/>
          </w:tcPr>
          <w:p>
            <w:pPr>
              <w:spacing w:after="0"/>
              <w:rPr>
                <w:sz w:val="16"/>
                <w:szCs w:val="16"/>
                <w:color w:val="auto"/>
              </w:rPr>
            </w:pPr>
          </w:p>
        </w:tc>
        <w:tc>
          <w:tcPr>
            <w:tcW w:w="176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8"/>
        </w:trPr>
        <w:tc>
          <w:tcPr>
            <w:tcW w:w="7120" w:type="dxa"/>
            <w:vAlign w:val="bottom"/>
            <w:tcBorders>
              <w:bottom w:val="single" w:sz="8" w:color="CCEC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5"/>
        </w:trPr>
        <w:tc>
          <w:tcPr>
            <w:tcW w:w="7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Raw materials and components</w:t>
            </w:r>
          </w:p>
        </w:tc>
        <w:tc>
          <w:tcPr>
            <w:tcW w:w="240" w:type="dxa"/>
            <w:vAlign w:val="bottom"/>
            <w:tcBorders>
              <w:bottom w:val="single" w:sz="8" w:color="CCECFF"/>
            </w:tcBorders>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115,883</w:t>
            </w:r>
          </w:p>
        </w:tc>
        <w:tc>
          <w:tcPr>
            <w:tcW w:w="8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CCECFF"/>
            </w:tcBorders>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CFF"/>
            </w:tcBorders>
            <w:shd w:val="clear" w:color="auto" w:fill="CCECFF"/>
          </w:tcPr>
          <w:p>
            <w:pPr>
              <w:jc w:val="right"/>
              <w:ind w:right="2"/>
              <w:spacing w:after="0"/>
              <w:rPr>
                <w:sz w:val="20"/>
                <w:szCs w:val="20"/>
                <w:color w:val="auto"/>
              </w:rPr>
            </w:pPr>
            <w:r>
              <w:rPr>
                <w:rFonts w:ascii="Times New Roman" w:cs="Times New Roman" w:eastAsia="Times New Roman" w:hAnsi="Times New Roman"/>
                <w:sz w:val="16"/>
                <w:szCs w:val="16"/>
                <w:color w:val="auto"/>
              </w:rPr>
              <w:t>124,446</w:t>
            </w:r>
          </w:p>
        </w:tc>
      </w:tr>
      <w:tr>
        <w:trPr>
          <w:trHeight w:val="217"/>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11,675</w:t>
            </w:r>
          </w:p>
        </w:tc>
      </w:tr>
      <w:tr>
        <w:trPr>
          <w:trHeight w:val="36"/>
        </w:trPr>
        <w:tc>
          <w:tcPr>
            <w:tcW w:w="7120" w:type="dxa"/>
            <w:vAlign w:val="bottom"/>
            <w:tcBorders>
              <w:bottom w:val="single" w:sz="8" w:color="CCEC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 w:type="dxa"/>
            <w:vAlign w:val="bottom"/>
            <w:tcBorders>
              <w:bottom w:val="single" w:sz="8" w:color="CCEC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70"/>
        </w:trPr>
        <w:tc>
          <w:tcPr>
            <w:tcW w:w="7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240" w:type="dxa"/>
            <w:vAlign w:val="bottom"/>
            <w:tcBorders>
              <w:bottom w:val="single" w:sz="8" w:color="CCECFF"/>
            </w:tcBorders>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137,666</w:t>
            </w:r>
          </w:p>
        </w:tc>
        <w:tc>
          <w:tcPr>
            <w:tcW w:w="80" w:type="dxa"/>
            <w:vAlign w:val="bottom"/>
            <w:tcBorders>
              <w:bottom w:val="single" w:sz="8" w:color="CCECFF"/>
            </w:tcBorders>
            <w:shd w:val="clear" w:color="auto" w:fill="CCECFF"/>
          </w:tcPr>
          <w:p>
            <w:pPr>
              <w:spacing w:after="0"/>
              <w:rPr>
                <w:sz w:val="23"/>
                <w:szCs w:val="23"/>
                <w:color w:val="auto"/>
              </w:rPr>
            </w:pPr>
          </w:p>
        </w:tc>
        <w:tc>
          <w:tcPr>
            <w:tcW w:w="260" w:type="dxa"/>
            <w:vAlign w:val="bottom"/>
            <w:tcBorders>
              <w:bottom w:val="single" w:sz="8" w:color="CCECFF"/>
            </w:tcBorders>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CFF"/>
            </w:tcBorders>
            <w:shd w:val="clear" w:color="auto" w:fill="CCECFF"/>
          </w:tcPr>
          <w:p>
            <w:pPr>
              <w:jc w:val="right"/>
              <w:ind w:right="2"/>
              <w:spacing w:after="0"/>
              <w:rPr>
                <w:sz w:val="20"/>
                <w:szCs w:val="20"/>
                <w:color w:val="auto"/>
              </w:rPr>
            </w:pPr>
            <w:r>
              <w:rPr>
                <w:rFonts w:ascii="Times New Roman" w:cs="Times New Roman" w:eastAsia="Times New Roman" w:hAnsi="Times New Roman"/>
                <w:sz w:val="16"/>
                <w:szCs w:val="16"/>
                <w:color w:val="auto"/>
              </w:rPr>
              <w:t>136,121</w:t>
            </w:r>
          </w:p>
        </w:tc>
      </w:tr>
      <w:tr>
        <w:trPr>
          <w:trHeight w:val="20"/>
        </w:trPr>
        <w:tc>
          <w:tcPr>
            <w:tcW w:w="712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Property and Equipment</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Property and equipment at December 30, 2023 and September 30, 2023 consists of the following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40" w:type="dxa"/>
            <w:vAlign w:val="bottom"/>
          </w:tcPr>
          <w:p>
            <w:pPr>
              <w:spacing w:after="0"/>
              <w:rPr>
                <w:sz w:val="16"/>
                <w:szCs w:val="16"/>
                <w:color w:val="auto"/>
              </w:rPr>
            </w:pPr>
          </w:p>
        </w:tc>
        <w:tc>
          <w:tcPr>
            <w:tcW w:w="178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8"/>
        </w:trPr>
        <w:tc>
          <w:tcPr>
            <w:tcW w:w="7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 furniture and fixtures, and test equipment</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40,437</w:t>
            </w:r>
          </w:p>
        </w:tc>
      </w:tr>
      <w:tr>
        <w:trPr>
          <w:trHeight w:val="21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Internal use software</w:t>
            </w: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5,638</w:t>
            </w:r>
          </w:p>
        </w:tc>
      </w:tr>
      <w:tr>
        <w:trPr>
          <w:trHeight w:val="36"/>
        </w:trPr>
        <w:tc>
          <w:tcPr>
            <w:tcW w:w="7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5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7,194</w:t>
            </w:r>
          </w:p>
        </w:tc>
      </w:tr>
      <w:tr>
        <w:trPr>
          <w:trHeight w:val="209"/>
        </w:trPr>
        <w:tc>
          <w:tcPr>
            <w:tcW w:w="7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2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56,197</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53,269</w:t>
            </w:r>
          </w:p>
        </w:tc>
      </w:tr>
      <w:tr>
        <w:trPr>
          <w:trHeight w:val="36"/>
        </w:trPr>
        <w:tc>
          <w:tcPr>
            <w:tcW w:w="7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5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(18,762)</w:t>
            </w:r>
          </w:p>
        </w:tc>
      </w:tr>
      <w:tr>
        <w:trPr>
          <w:trHeight w:val="209"/>
        </w:trPr>
        <w:tc>
          <w:tcPr>
            <w:tcW w:w="7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34,990</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34,507</w:t>
            </w:r>
          </w:p>
        </w:tc>
      </w:tr>
      <w:tr>
        <w:trPr>
          <w:trHeight w:val="36"/>
        </w:trPr>
        <w:tc>
          <w:tcPr>
            <w:tcW w:w="7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0"/>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the three months ended December 30, 2023 and December 24, 2022, depreciation expense was $2.3 million and $1.6 million, respectively.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Income Taxes (As Restated)</w:t>
      </w:r>
    </w:p>
    <w:p>
      <w:pPr>
        <w:spacing w:after="0" w:line="59" w:lineRule="exact"/>
        <w:rPr>
          <w:sz w:val="20"/>
          <w:szCs w:val="20"/>
          <w:color w:val="auto"/>
        </w:rPr>
      </w:pPr>
    </w:p>
    <w:p>
      <w:pPr>
        <w:ind w:right="180" w:firstLine="289"/>
        <w:spacing w:after="0" w:line="267" w:lineRule="auto"/>
        <w:rPr>
          <w:sz w:val="20"/>
          <w:szCs w:val="20"/>
          <w:color w:val="auto"/>
        </w:rPr>
      </w:pPr>
      <w:r>
        <w:rPr>
          <w:rFonts w:ascii="Times New Roman" w:cs="Times New Roman" w:eastAsia="Times New Roman" w:hAnsi="Times New Roman"/>
          <w:sz w:val="16"/>
          <w:szCs w:val="16"/>
          <w:color w:val="auto"/>
        </w:rPr>
        <w:t>The Company is subject to U.S. federal income taxes, in addition to state and local income taxes, with respect to its allocable share of any taxable income or loss of Symbotic Holdings, LLC. The remaining share of Symbotic Holdings income or loss is non-taxable to the Company and is not reflected in current or deferred income taxes. The Company’s foreign subsidiaries are subject to income tax in their local jurisdictions.</w:t>
      </w:r>
    </w:p>
    <w:p>
      <w:pPr>
        <w:spacing w:after="0" w:line="13" w:lineRule="exact"/>
        <w:rPr>
          <w:sz w:val="20"/>
          <w:szCs w:val="20"/>
          <w:color w:val="auto"/>
        </w:rPr>
      </w:pPr>
    </w:p>
    <w:p>
      <w:pPr>
        <w:ind w:right="40" w:firstLine="289"/>
        <w:spacing w:after="0" w:line="258" w:lineRule="auto"/>
        <w:rPr>
          <w:sz w:val="20"/>
          <w:szCs w:val="20"/>
          <w:color w:val="auto"/>
        </w:rPr>
      </w:pPr>
      <w:r>
        <w:rPr>
          <w:rFonts w:ascii="Times New Roman" w:cs="Times New Roman" w:eastAsia="Times New Roman" w:hAnsi="Times New Roman"/>
          <w:sz w:val="16"/>
          <w:szCs w:val="16"/>
          <w:color w:val="auto"/>
        </w:rPr>
        <w:t>For the three months ended December 30, 2023, the Company recorded a current income tax expense of $0.2 million, and for the three months ended December 24, 2022, the Company recorded a current income tax expense of $0.3 million. The Company incurred a pre-tax loss for the three month period and recorded a full valuation allowance against its domestic deferred tax assets and a partial valuation allowance against its foreign deferred tax assets. The Company incurs state tax expense by Symbotic US at the flow-through entity level and foreign tax expense at its foreign subsidiaries. The effective tax rate for the three months ended December 30, 2023 is (0.9)% and differs from the federal statutory income tax rate primarily due to the flow-through entity level taxes and the effect of the valuation allowance against its net federal, state, and foreign deferred income taxes.</w:t>
      </w:r>
    </w:p>
    <w:p>
      <w:pPr>
        <w:spacing w:after="0" w:line="18" w:lineRule="exact"/>
        <w:rPr>
          <w:sz w:val="20"/>
          <w:szCs w:val="20"/>
          <w:color w:val="auto"/>
        </w:rPr>
      </w:pPr>
    </w:p>
    <w:p>
      <w:pPr>
        <w:ind w:right="60" w:firstLine="289"/>
        <w:spacing w:after="0" w:line="256" w:lineRule="auto"/>
        <w:rPr>
          <w:sz w:val="20"/>
          <w:szCs w:val="20"/>
          <w:color w:val="auto"/>
        </w:rPr>
      </w:pPr>
      <w:r>
        <w:rPr>
          <w:rFonts w:ascii="Times New Roman" w:cs="Times New Roman" w:eastAsia="Times New Roman" w:hAnsi="Times New Roman"/>
          <w:sz w:val="16"/>
          <w:szCs w:val="16"/>
          <w:color w:val="auto"/>
        </w:rPr>
        <w:t>As of December 30, 2023, the Company continues to conclude that the negative evidence regarding its ability to realize its deferred tax assets outweighs the positive evidence, and the Company has a full valuation allowance against its domestic federal and state net deferred tax assets and a partial valuation allowance against its foreign net deferred tax assets. The Company has a history of cumulative pre-tax losses for the three previous fiscal years which it believes represents significant negative evidence in evaluating whether its deferred tax assets are realizable. Given these cumulative losses, lack of forecast history, the competitive environment, and uncertainty of general economic conditions, the Company does not believe it can rely on projections of future taxable income exclusive of reversing taxable temporary differences to support the realization of its deferred tax assets. In upcoming quarters, the Company will continue to evaluate both the positive and negative evidence surrounding its ability to realize its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2" w:name="page23"/>
    <w:bookmarkEnd w:id="22"/>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Tax Receivable Agreement</w:t>
      </w:r>
    </w:p>
    <w:p>
      <w:pPr>
        <w:spacing w:after="0" w:line="59" w:lineRule="exact"/>
        <w:rPr>
          <w:sz w:val="20"/>
          <w:szCs w:val="20"/>
          <w:color w:val="auto"/>
        </w:rPr>
      </w:pPr>
    </w:p>
    <w:p>
      <w:pPr>
        <w:ind w:right="20" w:firstLine="289"/>
        <w:spacing w:after="0" w:line="255" w:lineRule="auto"/>
        <w:rPr>
          <w:sz w:val="20"/>
          <w:szCs w:val="20"/>
          <w:color w:val="auto"/>
        </w:rPr>
      </w:pPr>
      <w:r>
        <w:rPr>
          <w:rFonts w:ascii="Times New Roman" w:cs="Times New Roman" w:eastAsia="Times New Roman" w:hAnsi="Times New Roman"/>
          <w:sz w:val="16"/>
          <w:szCs w:val="16"/>
          <w:color w:val="auto"/>
        </w:rPr>
        <w:t>As of December 30, 2023 future payments under the Tax Receivable Agreement (“TRA”) with respect to the purchase of Symbotic Holdings Units which occurred as part of or subsequent to the Business Combination are expected to be $382.0 million. Payments made under the TRA represent payments that otherwise would have been made to taxing authorities in the absence of attributes obtained by the Company as a result of exchanges by its pre-IPO members. Such amounts will be paid only when a cash tax savings is realized as a result of attributes subject to the TRA. That is, payments under the TRA are only expected to be made in periods following the filing of a tax return in which the Company is able to utilize certain tax benefits to reduce its cash taxes paid to a taxing authority. The impact of any changes in the projected obligations under the TRA as a result of changes in the geographic mix of the Company’s earnings, changes in tax legislation and tax rates or other factors that may impact the Company’s tax savings will be reflected in income or loss before taxes on the consolidated statement of operations in the period in which the change occurs. As of December 30, 2023, no TRA liability was recorded based on current projections of future taxable income taking into consideration the Company’s full valuation allowance against its net deferred tax asset.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Fair Value Measures</w:t>
      </w:r>
    </w:p>
    <w:p>
      <w:pPr>
        <w:spacing w:after="0" w:line="59" w:lineRule="exact"/>
        <w:rPr>
          <w:sz w:val="20"/>
          <w:szCs w:val="20"/>
          <w:color w:val="auto"/>
        </w:rPr>
      </w:pPr>
    </w:p>
    <w:p>
      <w:pPr>
        <w:ind w:right="80" w:firstLine="289"/>
        <w:spacing w:after="0" w:line="267" w:lineRule="auto"/>
        <w:rPr>
          <w:sz w:val="20"/>
          <w:szCs w:val="20"/>
          <w:color w:val="auto"/>
        </w:rPr>
      </w:pPr>
      <w:r>
        <w:rPr>
          <w:rFonts w:ascii="Times New Roman" w:cs="Times New Roman" w:eastAsia="Times New Roman" w:hAnsi="Times New Roman"/>
          <w:sz w:val="16"/>
          <w:szCs w:val="16"/>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1 – inputs to the valuation methodology are quoted prices (unadjusted) for an identical asset or liability in an active market</w:t>
      </w:r>
    </w:p>
    <w:p>
      <w:pPr>
        <w:spacing w:after="0" w:line="57" w:lineRule="exact"/>
        <w:rPr>
          <w:sz w:val="20"/>
          <w:szCs w:val="20"/>
          <w:color w:val="auto"/>
        </w:rPr>
      </w:pPr>
    </w:p>
    <w:p>
      <w:pPr>
        <w:ind w:right="60" w:firstLine="289"/>
        <w:spacing w:after="0" w:line="282" w:lineRule="auto"/>
        <w:rPr>
          <w:sz w:val="20"/>
          <w:szCs w:val="20"/>
          <w:color w:val="auto"/>
        </w:rPr>
      </w:pPr>
      <w:r>
        <w:rPr>
          <w:rFonts w:ascii="Times New Roman" w:cs="Times New Roman" w:eastAsia="Times New Roman" w:hAnsi="Times New Roman"/>
          <w:sz w:val="16"/>
          <w:szCs w:val="16"/>
          <w:color w:val="auto"/>
        </w:rPr>
        <w:t>Level 2 – 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3 – inputs to the valuation methodology are unobservable and significant to the fair value measurement of the asset or liability</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presents the Company’s financial assets measured and recorded at fair value on a recurring basis using the above input categories as of December 30,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2023 and September 30, 2023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3"/>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8"/>
        </w:trPr>
        <w:tc>
          <w:tcPr>
            <w:tcW w:w="2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3"/>
        </w:trPr>
        <w:tc>
          <w:tcPr>
            <w:tcW w:w="2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8"/>
        </w:trPr>
        <w:tc>
          <w:tcPr>
            <w:tcW w:w="2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17"/>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446,217</w:t>
            </w:r>
          </w:p>
        </w:tc>
        <w:tc>
          <w:tcPr>
            <w:tcW w:w="10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446,217</w:t>
            </w:r>
          </w:p>
        </w:tc>
        <w:tc>
          <w:tcPr>
            <w:tcW w:w="10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219,945</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219,945</w:t>
            </w:r>
          </w:p>
        </w:tc>
      </w:tr>
      <w:tr>
        <w:trPr>
          <w:trHeight w:val="36"/>
        </w:trPr>
        <w:tc>
          <w:tcPr>
            <w:tcW w:w="2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3"/>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189,011</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286,736</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286,736</w:t>
            </w:r>
          </w:p>
        </w:tc>
      </w:tr>
      <w:tr>
        <w:trPr>
          <w:trHeight w:val="209"/>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446,217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189,011</w:t>
            </w:r>
          </w:p>
        </w:tc>
        <w:tc>
          <w:tcPr>
            <w:tcW w:w="80" w:type="dxa"/>
            <w:vAlign w:val="bottom"/>
          </w:tcPr>
          <w:p>
            <w:pPr>
              <w:spacing w:after="0"/>
              <w:rPr>
                <w:sz w:val="18"/>
                <w:szCs w:val="18"/>
                <w:color w:val="auto"/>
              </w:rPr>
            </w:pPr>
          </w:p>
        </w:tc>
        <w:tc>
          <w:tcPr>
            <w:tcW w:w="760" w:type="dxa"/>
            <w:vAlign w:val="bottom"/>
            <w:tcBorders>
              <w:top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635,228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219,945</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286,736</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506,681</w:t>
            </w:r>
          </w:p>
        </w:tc>
      </w:tr>
      <w:tr>
        <w:trPr>
          <w:trHeight w:val="36"/>
        </w:trPr>
        <w:tc>
          <w:tcPr>
            <w:tcW w:w="25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0"/>
        </w:trPr>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 had no liabilities measured and recorded at fair value on a recurring basis as of December 30, 2023 and September 30, 2023.</w:t>
      </w:r>
    </w:p>
    <w:p>
      <w:pPr>
        <w:spacing w:after="0" w:line="57" w:lineRule="exact"/>
        <w:rPr>
          <w:sz w:val="20"/>
          <w:szCs w:val="20"/>
          <w:color w:val="auto"/>
        </w:rPr>
      </w:pPr>
    </w:p>
    <w:p>
      <w:pPr>
        <w:ind w:right="80" w:firstLine="289"/>
        <w:spacing w:after="0" w:line="259" w:lineRule="auto"/>
        <w:rPr>
          <w:sz w:val="20"/>
          <w:szCs w:val="20"/>
          <w:color w:val="auto"/>
        </w:rPr>
      </w:pPr>
      <w:r>
        <w:rPr>
          <w:rFonts w:ascii="Times New Roman" w:cs="Times New Roman" w:eastAsia="Times New Roman" w:hAnsi="Times New Roman"/>
          <w:sz w:val="16"/>
          <w:szCs w:val="16"/>
          <w:color w:val="auto"/>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December 30, 2023,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19" w:lineRule="exact"/>
        <w:rPr>
          <w:sz w:val="20"/>
          <w:szCs w:val="20"/>
          <w:color w:val="auto"/>
        </w:rPr>
      </w:pPr>
    </w:p>
    <w:p>
      <w:pPr>
        <w:ind w:right="40" w:firstLine="289"/>
        <w:spacing w:after="0" w:line="259" w:lineRule="auto"/>
        <w:rPr>
          <w:sz w:val="20"/>
          <w:szCs w:val="20"/>
          <w:color w:val="auto"/>
        </w:rPr>
      </w:pPr>
      <w:r>
        <w:rPr>
          <w:rFonts w:ascii="Times New Roman" w:cs="Times New Roman" w:eastAsia="Times New Roman" w:hAnsi="Times New Roman"/>
          <w:sz w:val="16"/>
          <w:szCs w:val="16"/>
          <w:color w:val="auto"/>
        </w:rPr>
        <w:t>At December 30, 2023, the amortized cost of the Company’s U.S. Treasury securities is $184.4 million, with unrealized gains of $4.6 million and no unrealized losses, resulting in a fair value of $189.0 million. As applicable, when making the determination as to whether unrealized losses are other-than-temporary, the Company considers the length of time and extent to which each investment has been in an unrealized loss position, the financial condition and near-term prospects of the issuers, the issuers’ credit rating, and the time to maturity. There were no cash and cash equivalents related to U.S. Treasury securities with an original maturity of three months or less included in the amortized cost of $184.4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3" w:name="page24"/>
    <w:bookmarkEnd w:id="23"/>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Related Party Transactions (As Restated)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Aircraft Time Sharing Agreement</w:t>
      </w:r>
    </w:p>
    <w:p>
      <w:pPr>
        <w:spacing w:after="0" w:line="59" w:lineRule="exact"/>
        <w:rPr>
          <w:sz w:val="20"/>
          <w:szCs w:val="20"/>
          <w:color w:val="auto"/>
        </w:rPr>
      </w:pPr>
    </w:p>
    <w:p>
      <w:pPr>
        <w:ind w:right="260" w:firstLine="289"/>
        <w:spacing w:after="0" w:line="259" w:lineRule="auto"/>
        <w:rPr>
          <w:sz w:val="20"/>
          <w:szCs w:val="20"/>
          <w:color w:val="auto"/>
        </w:rPr>
      </w:pPr>
      <w:r>
        <w:rPr>
          <w:rFonts w:ascii="Times New Roman" w:cs="Times New Roman" w:eastAsia="Times New Roman" w:hAnsi="Times New Roman"/>
          <w:sz w:val="16"/>
          <w:szCs w:val="16"/>
          <w:color w:val="auto"/>
        </w:rPr>
        <w:t>In December 2021 and May 2022, the Company entered into aircraft time-sharing agreements with C&amp;S Wholesale Grocers, Inc. (“C&amp;S”) whereby the Company’s officials, employees, and guests are permitted to use the two C&amp;S aircraft on an as-needed and as-available basis, with no minimum usage being required. As there is no defined period of time stated within these aircraft time-sharing agreements, the Company does not consider these to meet the definition of a lease, and as such, records payments in the period in which the obligation for the payment is incurred. For the three months ended December 30, 2023 and December 24, 2022, the Company incurred expense of $0.2 million and $0.1 million, respectively, related to these aircraft time-sharing agreements.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Usage of Facility and Employee Services</w:t>
      </w:r>
    </w:p>
    <w:p>
      <w:pPr>
        <w:spacing w:after="0" w:line="59" w:lineRule="exact"/>
        <w:rPr>
          <w:sz w:val="20"/>
          <w:szCs w:val="20"/>
          <w:color w:val="auto"/>
        </w:rPr>
      </w:pPr>
    </w:p>
    <w:p>
      <w:pPr>
        <w:jc w:val="both"/>
        <w:ind w:right="220" w:firstLine="289"/>
        <w:spacing w:after="0" w:line="267" w:lineRule="auto"/>
        <w:rPr>
          <w:sz w:val="20"/>
          <w:szCs w:val="20"/>
          <w:color w:val="auto"/>
        </w:rPr>
      </w:pPr>
      <w:r>
        <w:rPr>
          <w:rFonts w:ascii="Times New Roman" w:cs="Times New Roman" w:eastAsia="Times New Roman" w:hAnsi="Times New Roman"/>
          <w:sz w:val="16"/>
          <w:szCs w:val="16"/>
          <w:color w:val="auto"/>
        </w:rPr>
        <w:t>The Company has a license arrangement with C&amp;S whereby C&amp;S is providing receiving and logistics services for the Company within a C&amp;S distribution facility. The arrangement also provides for C&amp;S employees assisting with certain of the Company’s operations. For the three months ended December 30, 2023 and December 24, 2022, the Company incurred expense of $0.7 million and $0.3 million, respectively, related to this arrangement.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Customer Contracts</w:t>
      </w:r>
    </w:p>
    <w:p>
      <w:pPr>
        <w:spacing w:after="0" w:line="59" w:lineRule="exact"/>
        <w:rPr>
          <w:sz w:val="20"/>
          <w:szCs w:val="20"/>
          <w:color w:val="auto"/>
        </w:rPr>
      </w:pPr>
    </w:p>
    <w:p>
      <w:pPr>
        <w:ind w:right="20" w:firstLine="289"/>
        <w:spacing w:after="0" w:line="262" w:lineRule="auto"/>
        <w:rPr>
          <w:sz w:val="20"/>
          <w:szCs w:val="20"/>
          <w:color w:val="auto"/>
        </w:rPr>
      </w:pPr>
      <w:r>
        <w:rPr>
          <w:rFonts w:ascii="Times New Roman" w:cs="Times New Roman" w:eastAsia="Times New Roman" w:hAnsi="Times New Roman"/>
          <w:sz w:val="16"/>
          <w:szCs w:val="16"/>
          <w:color w:val="auto"/>
        </w:rPr>
        <w:t>The Company has customer contracts with C&amp;S relating to systems implementation, software maintenance services and the operations of a warehouse automation system. Revenue of $12.8 million and $5.5 million was recognized for the three months ended December 30, 2023 and December 24, 2022, respectively, relating to these customer contracts. There was $13.8 million accounts receivable due from C&amp;S at December 30, 2023, and $0.9 million accounts receivable due from C&amp;S at September 30, 2023. There was $10.5 million and $9.3 million of deferred revenue related to contracts with C&amp;S at December 30, 2023 and September 30, 2023,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Commitments and Contingencies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Contingencies</w:t>
      </w:r>
    </w:p>
    <w:p>
      <w:pPr>
        <w:spacing w:after="0" w:line="59" w:lineRule="exact"/>
        <w:rPr>
          <w:sz w:val="20"/>
          <w:szCs w:val="20"/>
          <w:color w:val="auto"/>
        </w:rPr>
      </w:pPr>
    </w:p>
    <w:p>
      <w:pPr>
        <w:ind w:right="140" w:firstLine="289"/>
        <w:spacing w:after="0" w:line="267" w:lineRule="auto"/>
        <w:rPr>
          <w:sz w:val="20"/>
          <w:szCs w:val="20"/>
          <w:color w:val="auto"/>
        </w:rPr>
      </w:pPr>
      <w:r>
        <w:rPr>
          <w:rFonts w:ascii="Times New Roman" w:cs="Times New Roman" w:eastAsia="Times New Roman" w:hAnsi="Times New Roman"/>
          <w:sz w:val="16"/>
          <w:szCs w:val="16"/>
          <w:color w:val="auto"/>
        </w:rPr>
        <w:t>Liabilities for any loss contingencies arising from claims, assessments, litigation, fines, penalties, and other matters are recorded when it is probable that the liability has been incurred and the amount of the liability can be reasonably estimated. As of December 30, 2023, the Company has made appropriate provisions related to such matters and does not believe that such matters will have a material adverse effect on the Company’s consolidated operations, financial position, or liquidity.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Indemnifications</w:t>
      </w:r>
    </w:p>
    <w:p>
      <w:pPr>
        <w:spacing w:after="0" w:line="59" w:lineRule="exact"/>
        <w:rPr>
          <w:sz w:val="20"/>
          <w:szCs w:val="20"/>
          <w:color w:val="auto"/>
        </w:rPr>
      </w:pPr>
    </w:p>
    <w:p>
      <w:pPr>
        <w:ind w:right="140" w:firstLine="289"/>
        <w:spacing w:after="0" w:line="259"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 Company has never incurred costs to defend lawsuits or settle claims related to these indemnification obligations. As a result, the Company believes the estimated fair value of these obligations is minimal. Accordingly, the Company has no liabilities recorded for these obligations as of December 30, 2023 and September 30,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Warranty</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 provides a limited warranty on its warehouse automation systems and has established a reserve for warranty obligations based on estimated warranty costs.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reserve is included as part of accrued expenses and other long-term liabilities in the accompanying consolidated balance sheets.</w:t>
      </w:r>
    </w:p>
    <w:p>
      <w:pPr>
        <w:spacing w:after="0" w:line="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Activity related to the warranty accrual is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8"/>
        </w:trPr>
        <w:tc>
          <w:tcPr>
            <w:tcW w:w="8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3"/>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2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24, 2022</w:t>
            </w:r>
          </w:p>
        </w:tc>
      </w:tr>
      <w:tr>
        <w:trPr>
          <w:trHeight w:val="28"/>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CCEEFF"/>
            </w:tcBorders>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w w:val="99"/>
              </w:rPr>
              <w:t>9,004</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w w:val="99"/>
              </w:rPr>
              <w:t>2,217</w:t>
            </w: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usage</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center"/>
              <w:ind w:left="721"/>
              <w:spacing w:after="0"/>
              <w:rPr>
                <w:sz w:val="20"/>
                <w:szCs w:val="20"/>
                <w:color w:val="auto"/>
              </w:rPr>
            </w:pPr>
            <w:r>
              <w:rPr>
                <w:rFonts w:ascii="Times New Roman" w:cs="Times New Roman" w:eastAsia="Times New Roman" w:hAnsi="Times New Roman"/>
                <w:sz w:val="16"/>
                <w:szCs w:val="16"/>
                <w:color w:val="auto"/>
                <w:w w:val="98"/>
              </w:rPr>
              <w:t>(1,231)</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22,323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tcPr>
          <w:p>
            <w:pPr>
              <w:jc w:val="center"/>
              <w:ind w:left="741"/>
              <w:spacing w:after="0"/>
              <w:rPr>
                <w:sz w:val="20"/>
                <w:szCs w:val="20"/>
                <w:color w:val="auto"/>
              </w:rPr>
            </w:pPr>
            <w:r>
              <w:rPr>
                <w:rFonts w:ascii="Times New Roman" w:cs="Times New Roman" w:eastAsia="Times New Roman" w:hAnsi="Times New Roman"/>
                <w:sz w:val="16"/>
                <w:szCs w:val="16"/>
                <w:color w:val="auto"/>
                <w:w w:val="99"/>
              </w:rPr>
              <w:t>9,990</w:t>
            </w:r>
          </w:p>
        </w:tc>
      </w:tr>
      <w:tr>
        <w:trPr>
          <w:trHeight w:val="36"/>
        </w:trPr>
        <w:tc>
          <w:tcPr>
            <w:tcW w:w="82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
        </w:trPr>
        <w:tc>
          <w:tcPr>
            <w:tcW w:w="8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4" w:name="page25"/>
    <w:bookmarkEnd w:id="24"/>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Variable Interest Entities (“VIE”)</w:t>
      </w:r>
    </w:p>
    <w:p>
      <w:pPr>
        <w:spacing w:after="0" w:line="59" w:lineRule="exact"/>
        <w:rPr>
          <w:sz w:val="20"/>
          <w:szCs w:val="20"/>
          <w:color w:val="auto"/>
        </w:rPr>
      </w:pPr>
    </w:p>
    <w:p>
      <w:pPr>
        <w:ind w:right="160" w:firstLine="289"/>
        <w:spacing w:after="0" w:line="282" w:lineRule="auto"/>
        <w:rPr>
          <w:sz w:val="20"/>
          <w:szCs w:val="20"/>
          <w:color w:val="auto"/>
        </w:rPr>
      </w:pPr>
      <w:r>
        <w:rPr>
          <w:rFonts w:ascii="Times New Roman" w:cs="Times New Roman" w:eastAsia="Times New Roman" w:hAnsi="Times New Roman"/>
          <w:sz w:val="16"/>
          <w:szCs w:val="16"/>
          <w:color w:val="auto"/>
        </w:rPr>
        <w:t>VIEs are entities with any of the following characteristics: (i) the entity does not have enough equity to finance its activities without additional financial support; (ii) the equity holders, as a group, lack the characteristics of a controlling financial interest; or (iii) the entity is structured with non-substantive voting rights.</w:t>
      </w:r>
    </w:p>
    <w:p>
      <w:pPr>
        <w:spacing w:after="0" w:line="1" w:lineRule="exact"/>
        <w:rPr>
          <w:sz w:val="20"/>
          <w:szCs w:val="20"/>
          <w:color w:val="auto"/>
        </w:rPr>
      </w:pPr>
    </w:p>
    <w:p>
      <w:pPr>
        <w:ind w:right="40" w:firstLine="289"/>
        <w:spacing w:after="0" w:line="267" w:lineRule="auto"/>
        <w:rPr>
          <w:sz w:val="20"/>
          <w:szCs w:val="20"/>
          <w:color w:val="auto"/>
        </w:rPr>
      </w:pPr>
      <w:r>
        <w:rPr>
          <w:rFonts w:ascii="Times New Roman" w:cs="Times New Roman" w:eastAsia="Times New Roman" w:hAnsi="Times New Roman"/>
          <w:sz w:val="16"/>
          <w:szCs w:val="16"/>
          <w:color w:val="auto"/>
        </w:rPr>
        <w:t>Consolidation of a VIE is required for the party deemed to be the primary beneficiary, if any. The primary beneficiary is the party who has both (a) the power to direct the activities of a VIE that most significantly impact the entity’s economic performance and (b) an obligation to absorb losses of the entity or a right to receive benefits from the entity that could potentially be significant to the entity.</w:t>
      </w:r>
    </w:p>
    <w:p>
      <w:pPr>
        <w:spacing w:after="0" w:line="13" w:lineRule="exact"/>
        <w:rPr>
          <w:sz w:val="20"/>
          <w:szCs w:val="20"/>
          <w:color w:val="auto"/>
        </w:rPr>
      </w:pPr>
    </w:p>
    <w:p>
      <w:pPr>
        <w:ind w:firstLine="289"/>
        <w:spacing w:after="0" w:line="259" w:lineRule="auto"/>
        <w:rPr>
          <w:sz w:val="20"/>
          <w:szCs w:val="20"/>
          <w:color w:val="auto"/>
        </w:rPr>
      </w:pPr>
      <w:r>
        <w:rPr>
          <w:rFonts w:ascii="Times New Roman" w:cs="Times New Roman" w:eastAsia="Times New Roman" w:hAnsi="Times New Roman"/>
          <w:sz w:val="16"/>
          <w:szCs w:val="16"/>
          <w:color w:val="auto"/>
        </w:rPr>
        <w:t>On July 23, 2023, the Company, New Symbotic Holdings, and Symbotic US (collectively, the “Symbotic Group”), entered into a Framework Agreement (the “Framework Agreement”) with Sunlight Investment Corp., a Delaware corporation (“Sunlight”), SVF II Strategic Investments AIV LLC, a Delaware limited liability company (“SVF” and, together with Sunlight, “SoftBank”), and GreenBox Systems LLC, a Delaware limited liability company (“GreenBox”), related to the formation of GreenBox as a venture between the Symbotic Group and SoftBank, the entry into a Limited Liability Company Agreement of GreenBox and Master Services, License and Equipment Agreement (the “Commercial Agreement”) and issuance of a warrant to purchase Class A Common Stock of Symbotic (the “GreenBox Warrant”).</w:t>
      </w:r>
    </w:p>
    <w:p>
      <w:pPr>
        <w:spacing w:after="0" w:line="19" w:lineRule="exact"/>
        <w:rPr>
          <w:sz w:val="20"/>
          <w:szCs w:val="20"/>
          <w:color w:val="auto"/>
        </w:rPr>
      </w:pPr>
    </w:p>
    <w:p>
      <w:pPr>
        <w:ind w:right="100" w:firstLine="289"/>
        <w:spacing w:after="0" w:line="254" w:lineRule="auto"/>
        <w:rPr>
          <w:sz w:val="20"/>
          <w:szCs w:val="20"/>
          <w:color w:val="auto"/>
        </w:rPr>
      </w:pPr>
      <w:r>
        <w:rPr>
          <w:rFonts w:ascii="Times New Roman" w:cs="Times New Roman" w:eastAsia="Times New Roman" w:hAnsi="Times New Roman"/>
          <w:sz w:val="16"/>
          <w:szCs w:val="16"/>
          <w:color w:val="auto"/>
        </w:rPr>
        <w:t xml:space="preserve">GreenBox was established on July 21, 2023, to build and automate supply chain networks globally by operating and financing the Company’s advanced artificial intelligence (“A.I.”) and automation technology for the warehouse. Symbotic Holdings and Sunlight own 35% and 65% of GreenBox, respectively. On July 23, 2023, GreenBox entered into the Commercial Agreement with Symbotic US with respect to the purchase of Symbotic’s automated case handling systems. The Company evaluated for VIEs upon the formation of GreenBox in accordance with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The Company holds a variable interest in GreenBox through its equity interest in GreenBox. GreenBox is a VIE resulting from GreenBox’s lack of sufficient equity to finance its operations without additional subordinated financial support from both the Company and SoftBank. The consolidation of GreenBox is not required as the Company is not the primary beneficiary of this VIE as it does not have the power to direct the activities that most significantly impact GreenBox’s economic performance. Such power is conveyed through GreenBox’s board of directors and the Company does not have control over GreenBox’s board of directors. The Company calculated its maximum exposure to loss while considering its equity investment in the VIE, any amounts owed to the Company for services which may have been provided, net of any unearned revenue commitments from the VIE under the Commercial Agreement, and future funding commitments. As of December 30, 2023, there is no carrying value of the VIE as no significant activity had occurred in the period related to the VIE. As of December 30, 2023 the Company does not have a maximum exposure to loss as the Company’s future funding commitment is less than the revenue commitment from the VIE under the Commercial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Net Loss per Share (As Restated)</w:t>
      </w:r>
    </w:p>
    <w:p>
      <w:pPr>
        <w:spacing w:after="0" w:line="59"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color w:val="auto"/>
        </w:rPr>
        <w:t>Basic earnings per share of Class A common stock is computed by dividing net loss attributable to common shareholders by the weighted-average number of shares of Class A common stock outstanding during the period. Diluted earnings per share of Class A common stock is computed by dividing net loss attributable to common shareholders adjusted for the assumed exchange of all potentially dilutive securities, by the weighted-average number of shares of Class A common stock outstanding adjusted to give effect to potentially dilutive elements. Since the Company incurred net losses for each of the periods presented, diluted net loss per share is the same as basic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5" w:name="page26"/>
    <w:bookmarkEnd w:id="25"/>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80" w:firstLine="289"/>
        <w:spacing w:after="0" w:line="284" w:lineRule="auto"/>
        <w:rPr>
          <w:sz w:val="20"/>
          <w:szCs w:val="20"/>
          <w:color w:val="auto"/>
        </w:rPr>
      </w:pPr>
      <w:r>
        <w:rPr>
          <w:rFonts w:ascii="Times New Roman" w:cs="Times New Roman" w:eastAsia="Times New Roman" w:hAnsi="Times New Roman"/>
          <w:sz w:val="16"/>
          <w:szCs w:val="16"/>
          <w:color w:val="auto"/>
        </w:rPr>
        <w:t>The following table sets forth reconciliations of the numerators and denominators used to compute basic and diluted earnings per share of Class A common stock (in thousands, except per share information):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8"/>
        </w:trPr>
        <w:tc>
          <w:tcPr>
            <w:tcW w:w="858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193"/>
        </w:trPr>
        <w:tc>
          <w:tcPr>
            <w:tcW w:w="8580" w:type="dxa"/>
            <w:vAlign w:val="bottom"/>
          </w:tcPr>
          <w:p>
            <w:pPr>
              <w:spacing w:after="0"/>
              <w:rPr>
                <w:sz w:val="16"/>
                <w:szCs w:val="16"/>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24, 2022</w:t>
            </w:r>
          </w:p>
        </w:tc>
      </w:tr>
      <w:tr>
        <w:trPr>
          <w:trHeight w:val="28"/>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3"/>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8"/>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3"/>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 - basic and diluted</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17"/>
        </w:trPr>
        <w:tc>
          <w:tcPr>
            <w:tcW w:w="8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(19,072)</w:t>
            </w:r>
          </w:p>
        </w:tc>
        <w:tc>
          <w:tcPr>
            <w:tcW w:w="8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(67,986)</w:t>
            </w:r>
          </w:p>
        </w:tc>
      </w:tr>
      <w:tr>
        <w:trPr>
          <w:trHeight w:val="36"/>
        </w:trPr>
        <w:tc>
          <w:tcPr>
            <w:tcW w:w="8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3"/>
        </w:trPr>
        <w:tc>
          <w:tcPr>
            <w:tcW w:w="8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Less: Net loss attributable to the noncontrolling interest post Business Combination</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(60,793)</w:t>
            </w:r>
          </w:p>
        </w:tc>
      </w:tr>
      <w:tr>
        <w:trPr>
          <w:trHeight w:val="209"/>
        </w:trPr>
        <w:tc>
          <w:tcPr>
            <w:tcW w:w="8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80" w:type="dxa"/>
            <w:vAlign w:val="bottom"/>
          </w:tcPr>
          <w:p>
            <w:pPr>
              <w:spacing w:after="0"/>
              <w:rPr>
                <w:sz w:val="18"/>
                <w:szCs w:val="18"/>
                <w:color w:val="auto"/>
              </w:rPr>
            </w:pPr>
          </w:p>
        </w:tc>
        <w:tc>
          <w:tcPr>
            <w:tcW w:w="320" w:type="dxa"/>
            <w:vAlign w:val="bottom"/>
            <w:tcBorders>
              <w:top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(7,193)</w:t>
            </w:r>
          </w:p>
        </w:tc>
      </w:tr>
      <w:tr>
        <w:trPr>
          <w:trHeight w:val="36"/>
        </w:trPr>
        <w:tc>
          <w:tcPr>
            <w:tcW w:w="8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3"/>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 - basic and diluted</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17"/>
        </w:trPr>
        <w:tc>
          <w:tcPr>
            <w:tcW w:w="8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Weighted-average shares of Class A common shares outstanding</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83,320,943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58,235,506</w:t>
            </w:r>
          </w:p>
        </w:tc>
      </w:tr>
      <w:tr>
        <w:trPr>
          <w:trHeight w:val="36"/>
        </w:trPr>
        <w:tc>
          <w:tcPr>
            <w:tcW w:w="85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25"/>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 of Class A common stock - basic and diluted</w:t>
            </w: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0"/>
        </w:trPr>
        <w:tc>
          <w:tcPr>
            <w:tcW w:w="8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116" w:lineRule="exact"/>
        <w:rPr>
          <w:sz w:val="20"/>
          <w:szCs w:val="20"/>
          <w:color w:val="auto"/>
        </w:rPr>
      </w:pPr>
    </w:p>
    <w:p>
      <w:pPr>
        <w:jc w:val="both"/>
        <w:ind w:right="200" w:firstLine="289"/>
        <w:spacing w:after="0" w:line="267" w:lineRule="auto"/>
        <w:rPr>
          <w:sz w:val="20"/>
          <w:szCs w:val="20"/>
          <w:color w:val="auto"/>
        </w:rPr>
      </w:pPr>
      <w:r>
        <w:rPr>
          <w:rFonts w:ascii="Times New Roman" w:cs="Times New Roman" w:eastAsia="Times New Roman" w:hAnsi="Times New Roman"/>
          <w:sz w:val="16"/>
          <w:szCs w:val="16"/>
          <w:color w:val="auto"/>
        </w:rPr>
        <w:t>The Company’s Class V-1 Common Stock and Class V-3 Common Stock do not participate in the earnings or losses of the Company and are therefore not participating securities. As such, separate presentation of basic and diluted earnings per share of Class V-1 Common Stock and Class V-3 Common Stock under the two-class method has not been presented.</w:t>
      </w:r>
    </w:p>
    <w:p>
      <w:pPr>
        <w:spacing w:after="0" w:line="13" w:lineRule="exact"/>
        <w:rPr>
          <w:sz w:val="20"/>
          <w:szCs w:val="20"/>
          <w:color w:val="auto"/>
        </w:rPr>
      </w:pPr>
    </w:p>
    <w:p>
      <w:pPr>
        <w:ind w:right="40" w:firstLine="289"/>
        <w:spacing w:after="0" w:line="262" w:lineRule="auto"/>
        <w:rPr>
          <w:sz w:val="20"/>
          <w:szCs w:val="20"/>
          <w:color w:val="auto"/>
        </w:rPr>
      </w:pPr>
      <w:r>
        <w:rPr>
          <w:rFonts w:ascii="Times New Roman" w:cs="Times New Roman" w:eastAsia="Times New Roman" w:hAnsi="Times New Roman"/>
          <w:sz w:val="16"/>
          <w:szCs w:val="16"/>
          <w:color w:val="auto"/>
        </w:rPr>
        <w:t>The Company uses the treasury stock method and the average market price per share during the period for calculating any potential dilutive effect of the restricted stock units (“RSUs”), 2022 Employee Stock Purchase Plan (the “ESPP”) and Warrant Units. The average stock price for the three months ended December 30, 2023 was $43.84. For the three months ended December 30, 2023, there were 10.4 million and 0.5 million potentially dilutive common stock equivalents related to the RSUs and Warrant Units,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Stock-Based Compensation and Warrant Units</w:t>
      </w:r>
    </w:p>
    <w:p>
      <w:pPr>
        <w:spacing w:after="0" w:line="10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The following two tables show stock-based compensation expense by award type and where the stock-based compensation expense is recorded in the Company’s consolidated statements of operations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gridSpan w:val="4"/>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8"/>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80" w:type="dxa"/>
            <w:vAlign w:val="bottom"/>
          </w:tcPr>
          <w:p>
            <w:pPr>
              <w:spacing w:after="0"/>
              <w:rPr>
                <w:sz w:val="16"/>
                <w:szCs w:val="16"/>
                <w:color w:val="auto"/>
              </w:rPr>
            </w:pP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24, 2022</w:t>
            </w:r>
          </w:p>
        </w:tc>
        <w:tc>
          <w:tcPr>
            <w:tcW w:w="0" w:type="dxa"/>
            <w:vAlign w:val="bottom"/>
          </w:tcPr>
          <w:p>
            <w:pPr>
              <w:spacing w:after="0"/>
              <w:rPr>
                <w:sz w:val="1"/>
                <w:szCs w:val="1"/>
                <w:color w:val="auto"/>
              </w:rPr>
            </w:pPr>
          </w:p>
        </w:tc>
      </w:tr>
      <w:tr>
        <w:trPr>
          <w:trHeight w:val="28"/>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(service-based and performance-based)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28,987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49,223</w:t>
            </w:r>
          </w:p>
        </w:tc>
        <w:tc>
          <w:tcPr>
            <w:tcW w:w="0" w:type="dxa"/>
            <w:vAlign w:val="bottom"/>
          </w:tcPr>
          <w:p>
            <w:pPr>
              <w:spacing w:after="0"/>
              <w:rPr>
                <w:sz w:val="1"/>
                <w:szCs w:val="1"/>
                <w:color w:val="auto"/>
              </w:rPr>
            </w:pPr>
          </w:p>
        </w:tc>
      </w:tr>
      <w:tr>
        <w:trPr>
          <w:trHeight w:val="21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80" w:type="dxa"/>
            <w:vAlign w:val="bottom"/>
          </w:tcPr>
          <w:p>
            <w:pPr>
              <w:spacing w:after="0"/>
              <w:rPr>
                <w:sz w:val="18"/>
                <w:szCs w:val="18"/>
                <w:color w:val="auto"/>
              </w:rPr>
            </w:pP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36"/>
        </w:trPr>
        <w:tc>
          <w:tcPr>
            <w:tcW w:w="78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29,462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49,540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6"/>
                <w:szCs w:val="16"/>
                <w:color w:val="auto"/>
              </w:rPr>
              <w:t>Effect of stock-based compensation expense on income by line item (in thousands):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7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60" w:type="dxa"/>
            <w:vAlign w:val="bottom"/>
            <w:gridSpan w:val="4"/>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8"/>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80" w:type="dxa"/>
            <w:vAlign w:val="bottom"/>
          </w:tcPr>
          <w:p>
            <w:pPr>
              <w:spacing w:after="0"/>
              <w:rPr>
                <w:sz w:val="16"/>
                <w:szCs w:val="16"/>
                <w:color w:val="auto"/>
              </w:rPr>
            </w:pP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24, 2022</w:t>
            </w:r>
          </w:p>
        </w:tc>
        <w:tc>
          <w:tcPr>
            <w:tcW w:w="0" w:type="dxa"/>
            <w:vAlign w:val="bottom"/>
          </w:tcPr>
          <w:p>
            <w:pPr>
              <w:spacing w:after="0"/>
              <w:rPr>
                <w:sz w:val="1"/>
                <w:szCs w:val="1"/>
                <w:color w:val="auto"/>
              </w:rPr>
            </w:pPr>
          </w:p>
        </w:tc>
      </w:tr>
      <w:tr>
        <w:trPr>
          <w:trHeight w:val="28"/>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Systems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2,715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Software maintenance and support</w:t>
            </w:r>
          </w:p>
        </w:tc>
        <w:tc>
          <w:tcPr>
            <w:tcW w:w="180" w:type="dxa"/>
            <w:vAlign w:val="bottom"/>
          </w:tcPr>
          <w:p>
            <w:pPr>
              <w:spacing w:after="0"/>
              <w:rPr>
                <w:sz w:val="18"/>
                <w:szCs w:val="18"/>
                <w:color w:val="auto"/>
              </w:rPr>
            </w:pP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36"/>
        </w:trPr>
        <w:tc>
          <w:tcPr>
            <w:tcW w:w="7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Operation services</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1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8"/>
                <w:szCs w:val="18"/>
                <w:color w:val="auto"/>
              </w:rPr>
            </w:pP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12,297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22,828</w:t>
            </w:r>
          </w:p>
        </w:tc>
        <w:tc>
          <w:tcPr>
            <w:tcW w:w="0" w:type="dxa"/>
            <w:vAlign w:val="bottom"/>
          </w:tcPr>
          <w:p>
            <w:pPr>
              <w:spacing w:after="0"/>
              <w:rPr>
                <w:sz w:val="1"/>
                <w:szCs w:val="1"/>
                <w:color w:val="auto"/>
              </w:rPr>
            </w:pPr>
          </w:p>
        </w:tc>
      </w:tr>
      <w:tr>
        <w:trPr>
          <w:trHeight w:val="36"/>
        </w:trPr>
        <w:tc>
          <w:tcPr>
            <w:tcW w:w="7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13,734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26,400</w:t>
            </w:r>
          </w:p>
        </w:tc>
        <w:tc>
          <w:tcPr>
            <w:tcW w:w="0" w:type="dxa"/>
            <w:vAlign w:val="bottom"/>
          </w:tcPr>
          <w:p>
            <w:pPr>
              <w:spacing w:after="0"/>
              <w:rPr>
                <w:sz w:val="1"/>
                <w:szCs w:val="1"/>
                <w:color w:val="auto"/>
              </w:rPr>
            </w:pPr>
          </w:p>
        </w:tc>
      </w:tr>
      <w:tr>
        <w:trPr>
          <w:trHeight w:val="239"/>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29,462</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49,540</w:t>
            </w:r>
          </w:p>
        </w:tc>
        <w:tc>
          <w:tcPr>
            <w:tcW w:w="0" w:type="dxa"/>
            <w:vAlign w:val="bottom"/>
          </w:tcPr>
          <w:p>
            <w:pPr>
              <w:spacing w:after="0"/>
              <w:rPr>
                <w:sz w:val="1"/>
                <w:szCs w:val="1"/>
                <w:color w:val="auto"/>
              </w:rPr>
            </w:pPr>
          </w:p>
        </w:tc>
      </w:tr>
      <w:tr>
        <w:trPr>
          <w:trHeight w:val="22"/>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Total stock-based compensation expense for the three months ended December 30, 2023 decreased as compared to the three months ended December 24, 2022 as a result of the issuance of restricted stock to our employees in August 2022 following the Business Combination with application of the graded-vesting method of expense recognition. There was no such grant in the same period of fiscal year 2023. For the three months ended December 30, 2023, the Company capitalized $0.2 million of stock-based compensation expense to property and equipment related to internal use software projects. There were no stock-based compensation costs capitalized for the three months ended December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6" w:name="page27"/>
    <w:bookmarkEnd w:id="26"/>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Warrant Units</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GreenBox Warrant</w:t>
      </w:r>
    </w:p>
    <w:p>
      <w:pPr>
        <w:spacing w:after="0" w:line="59" w:lineRule="exact"/>
        <w:rPr>
          <w:sz w:val="20"/>
          <w:szCs w:val="20"/>
          <w:color w:val="auto"/>
        </w:rPr>
      </w:pPr>
    </w:p>
    <w:p>
      <w:pPr>
        <w:ind w:right="140" w:firstLine="289"/>
        <w:spacing w:after="0" w:line="256" w:lineRule="auto"/>
        <w:rPr>
          <w:sz w:val="20"/>
          <w:szCs w:val="20"/>
          <w:color w:val="auto"/>
        </w:rPr>
      </w:pPr>
      <w:r>
        <w:rPr>
          <w:rFonts w:ascii="Times New Roman" w:cs="Times New Roman" w:eastAsia="Times New Roman" w:hAnsi="Times New Roman"/>
          <w:sz w:val="16"/>
          <w:szCs w:val="16"/>
          <w:color w:val="auto"/>
        </w:rPr>
        <w:t>On July 23, 2023, in connection with its entry into the Commercial Agreement with GreenBox, the Company issued Sunlight the GreenBox Warrant to acquire up to an aggregate of 11,434,360 shares of the Company’s Class A Common Stock, subject to certain vesting conditions. The GreenBox Warrant had a grant date fair value of $19.90 per unit. The GreenBox Warrant may vest in connection with conditions defined by the terms of the GreenBox Warrant, as GreenBox makes additional expenditures to the Company in connection with the Framework Agreement. There are up to eight tranches based on increments of expenditures where approximately 1,429,295 additional warrant units may vest per tranche, subject to certain conditions defined by the terms of the GreenBox Warrant. Upon vesting, warrant units may be acquired at an exercise price of $41.9719. The warrant units contain customary anti-dilution, down-round, and change-in-control provisions. The right to purchase units in connection with the GreenBox Warrant expires 36 months following the end of the initial term of the Framework Agreement which is July 23, 2027, or if applicable, the extension term of the Framework Agreement, which is July 23, 2029. As of December 30, 2023, none of the GreenBox Warrant units had vested.</w:t>
      </w:r>
    </w:p>
    <w:p>
      <w:pPr>
        <w:spacing w:after="0" w:line="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Walmart Warrant</w:t>
      </w:r>
    </w:p>
    <w:p>
      <w:pPr>
        <w:spacing w:after="0" w:line="59" w:lineRule="exact"/>
        <w:rPr>
          <w:sz w:val="20"/>
          <w:szCs w:val="20"/>
          <w:color w:val="auto"/>
        </w:rPr>
      </w:pPr>
    </w:p>
    <w:p>
      <w:pPr>
        <w:ind w:firstLine="289"/>
        <w:spacing w:after="0" w:line="256" w:lineRule="auto"/>
        <w:rPr>
          <w:sz w:val="20"/>
          <w:szCs w:val="20"/>
          <w:color w:val="auto"/>
        </w:rPr>
      </w:pPr>
      <w:r>
        <w:rPr>
          <w:rFonts w:ascii="Times New Roman" w:cs="Times New Roman" w:eastAsia="Times New Roman" w:hAnsi="Times New Roman"/>
          <w:sz w:val="16"/>
          <w:szCs w:val="16"/>
          <w:color w:val="auto"/>
        </w:rPr>
        <w:t>On May 20, 2022, in connection with its entry into the 2nd Amended and Restated Master Automation Agreement, the Company issued Walmart a warrant to acquire up to an aggregate of 258,972 Legacy Warehouse Class A Units (“May 2022 Warrant”), subject to certain vesting conditions. The May 2022 Warrant had a grant date fair value of $224.45. In connection with the closing of the Company’s initial public offering in June 2022, the May 2022 Warrant was converted into a new warrant to acquire up to an aggregate of 15,870,411 common units of Symbotic Holdings LLC (“June 2022 Warrant” and, the common units of Symbotic Holdings LLC issuable thereunder, the “Warrant Units”). The June 2022 Warrant vested in the second quarter of fiscal year 2023, as the installation commencement date for certain Systems which the Company is installing in Walmart’s 42 regional distribution centers had occurred. In December 2023, Walmart elected to gross exercise the vested warrants for $158.7 million. As a result of this gross exercise, 15,870,411 shares of Class V-1 Common Stock were issued to Walmart.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Segment and Geographic Information (As Restated)</w:t>
      </w:r>
    </w:p>
    <w:p>
      <w:pPr>
        <w:spacing w:after="0" w:line="59" w:lineRule="exact"/>
        <w:rPr>
          <w:sz w:val="20"/>
          <w:szCs w:val="20"/>
          <w:color w:val="auto"/>
        </w:rPr>
      </w:pPr>
    </w:p>
    <w:p>
      <w:pPr>
        <w:ind w:right="80" w:firstLine="289"/>
        <w:spacing w:after="0" w:line="282" w:lineRule="auto"/>
        <w:rPr>
          <w:sz w:val="20"/>
          <w:szCs w:val="20"/>
          <w:color w:val="auto"/>
        </w:rPr>
      </w:pPr>
      <w:r>
        <w:rPr>
          <w:rFonts w:ascii="Times New Roman" w:cs="Times New Roman" w:eastAsia="Times New Roman" w:hAnsi="Times New Roman"/>
          <w:sz w:val="16"/>
          <w:szCs w:val="16"/>
          <w:color w:val="auto"/>
        </w:rPr>
        <w:t>The Company operates as one operating segment. Revenue and property and equipment, net by geographic region, based on physical location of the operations recording the sale or the assets are as follows:</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Revenue by geographical region for the three months ended December 30, 2023 and December 24, 2022 are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40" w:type="dxa"/>
            <w:vAlign w:val="bottom"/>
            <w:gridSpan w:val="4"/>
          </w:tcPr>
          <w:p>
            <w:pPr>
              <w:jc w:val="right"/>
              <w:ind w:right="13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8"/>
        </w:trPr>
        <w:tc>
          <w:tcPr>
            <w:tcW w:w="7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60" w:type="dxa"/>
            <w:vAlign w:val="bottom"/>
          </w:tcPr>
          <w:p>
            <w:pPr>
              <w:spacing w:after="0"/>
              <w:rPr>
                <w:sz w:val="16"/>
                <w:szCs w:val="16"/>
                <w:color w:val="auto"/>
              </w:rPr>
            </w:pPr>
          </w:p>
        </w:tc>
        <w:tc>
          <w:tcPr>
            <w:tcW w:w="174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December 24, 2022</w:t>
            </w:r>
          </w:p>
        </w:tc>
        <w:tc>
          <w:tcPr>
            <w:tcW w:w="0" w:type="dxa"/>
            <w:vAlign w:val="bottom"/>
          </w:tcPr>
          <w:p>
            <w:pPr>
              <w:spacing w:after="0"/>
              <w:rPr>
                <w:sz w:val="1"/>
                <w:szCs w:val="1"/>
                <w:color w:val="auto"/>
              </w:rPr>
            </w:pPr>
          </w:p>
        </w:tc>
      </w:tr>
      <w:tr>
        <w:trPr>
          <w:trHeight w:val="28"/>
        </w:trPr>
        <w:tc>
          <w:tcPr>
            <w:tcW w:w="7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358,886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205,420</w:t>
            </w:r>
          </w:p>
        </w:tc>
        <w:tc>
          <w:tcPr>
            <w:tcW w:w="0" w:type="dxa"/>
            <w:vAlign w:val="bottom"/>
          </w:tcPr>
          <w:p>
            <w:pPr>
              <w:spacing w:after="0"/>
              <w:rPr>
                <w:sz w:val="1"/>
                <w:szCs w:val="1"/>
                <w:color w:val="auto"/>
              </w:rPr>
            </w:pPr>
          </w:p>
        </w:tc>
      </w:tr>
      <w:tr>
        <w:trPr>
          <w:trHeight w:val="217"/>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60" w:type="dxa"/>
            <w:vAlign w:val="bottom"/>
          </w:tcPr>
          <w:p>
            <w:pPr>
              <w:spacing w:after="0"/>
              <w:rPr>
                <w:sz w:val="18"/>
                <w:szCs w:val="18"/>
                <w:color w:val="auto"/>
              </w:rPr>
            </w:pPr>
          </w:p>
        </w:tc>
        <w:tc>
          <w:tcPr>
            <w:tcW w:w="1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0" w:type="dxa"/>
            <w:vAlign w:val="bottom"/>
          </w:tcPr>
          <w:p>
            <w:pPr>
              <w:spacing w:after="0"/>
              <w:rPr>
                <w:sz w:val="1"/>
                <w:szCs w:val="1"/>
                <w:color w:val="auto"/>
              </w:rPr>
            </w:pPr>
          </w:p>
        </w:tc>
      </w:tr>
      <w:tr>
        <w:trPr>
          <w:trHeight w:val="36"/>
        </w:trPr>
        <w:tc>
          <w:tcPr>
            <w:tcW w:w="7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359,943</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206,312</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Percentage of revenue generated outside of the United States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ind w:left="1560"/>
              <w:spacing w:after="0"/>
              <w:rPr>
                <w:sz w:val="20"/>
                <w:szCs w:val="20"/>
                <w:color w:val="auto"/>
              </w:rPr>
            </w:pPr>
            <w:r>
              <w:rPr>
                <w:rFonts w:ascii="Times New Roman" w:cs="Times New Roman" w:eastAsia="Times New Roman" w:hAnsi="Times New Roman"/>
                <w:sz w:val="16"/>
                <w:szCs w:val="16"/>
                <w:color w:val="auto"/>
              </w:rPr>
              <w:t>nil</w:t>
            </w:r>
          </w:p>
        </w:tc>
        <w:tc>
          <w:tcPr>
            <w:tcW w:w="2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 property and equipment, net by geographical region at December 30, 2023 and at September 30, 2023 are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60" w:type="dxa"/>
            <w:vAlign w:val="bottom"/>
          </w:tcPr>
          <w:p>
            <w:pPr>
              <w:spacing w:after="0"/>
              <w:rPr>
                <w:sz w:val="16"/>
                <w:szCs w:val="16"/>
                <w:color w:val="auto"/>
              </w:rPr>
            </w:pPr>
          </w:p>
        </w:tc>
        <w:tc>
          <w:tcPr>
            <w:tcW w:w="18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8"/>
        </w:trPr>
        <w:tc>
          <w:tcPr>
            <w:tcW w:w="694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9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Borders>
              <w:bottom w:val="single" w:sz="8" w:color="CCECFF"/>
            </w:tcBorders>
            <w:shd w:val="clear" w:color="auto" w:fill="CCEC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CCECFF"/>
            </w:tcBorders>
            <w:shd w:val="clear" w:color="auto" w:fill="CCECFF"/>
          </w:tcPr>
          <w:p>
            <w:pPr>
              <w:jc w:val="right"/>
              <w:ind w:right="121"/>
              <w:spacing w:after="0"/>
              <w:rPr>
                <w:sz w:val="20"/>
                <w:szCs w:val="20"/>
                <w:color w:val="auto"/>
              </w:rPr>
            </w:pPr>
            <w:r>
              <w:rPr>
                <w:rFonts w:ascii="Times New Roman" w:cs="Times New Roman" w:eastAsia="Times New Roman" w:hAnsi="Times New Roman"/>
                <w:sz w:val="16"/>
                <w:szCs w:val="16"/>
                <w:color w:val="auto"/>
              </w:rPr>
              <w:t>34,414</w:t>
            </w:r>
          </w:p>
        </w:tc>
        <w:tc>
          <w:tcPr>
            <w:tcW w:w="10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CCECFF"/>
            </w:tcBorders>
            <w:shd w:val="clear" w:color="auto" w:fill="CCEC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bottom w:val="single" w:sz="8" w:color="CCECFF"/>
            </w:tcBorders>
            <w:shd w:val="clear" w:color="auto" w:fill="CCECFF"/>
          </w:tcPr>
          <w:p>
            <w:pPr>
              <w:jc w:val="right"/>
              <w:ind w:right="121"/>
              <w:spacing w:after="0"/>
              <w:rPr>
                <w:sz w:val="20"/>
                <w:szCs w:val="20"/>
                <w:color w:val="auto"/>
              </w:rPr>
            </w:pPr>
            <w:r>
              <w:rPr>
                <w:rFonts w:ascii="Times New Roman" w:cs="Times New Roman" w:eastAsia="Times New Roman" w:hAnsi="Times New Roman"/>
                <w:sz w:val="16"/>
                <w:szCs w:val="16"/>
                <w:color w:val="auto"/>
              </w:rPr>
              <w:t>33,828</w:t>
            </w:r>
          </w:p>
        </w:tc>
        <w:tc>
          <w:tcPr>
            <w:tcW w:w="0" w:type="dxa"/>
            <w:vAlign w:val="bottom"/>
          </w:tcPr>
          <w:p>
            <w:pPr>
              <w:spacing w:after="0"/>
              <w:rPr>
                <w:sz w:val="1"/>
                <w:szCs w:val="1"/>
                <w:color w:val="auto"/>
              </w:rPr>
            </w:pPr>
          </w:p>
        </w:tc>
      </w:tr>
      <w:tr>
        <w:trPr>
          <w:trHeight w:val="21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80" w:type="dxa"/>
            <w:vAlign w:val="bottom"/>
          </w:tcPr>
          <w:p>
            <w:pPr>
              <w:spacing w:after="0"/>
              <w:rPr>
                <w:sz w:val="18"/>
                <w:szCs w:val="18"/>
                <w:color w:val="auto"/>
              </w:rPr>
            </w:pPr>
          </w:p>
        </w:tc>
        <w:tc>
          <w:tcPr>
            <w:tcW w:w="18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36"/>
        </w:trPr>
        <w:tc>
          <w:tcPr>
            <w:tcW w:w="6940" w:type="dxa"/>
            <w:vAlign w:val="bottom"/>
            <w:tcBorders>
              <w:bottom w:val="single" w:sz="8" w:color="CCEC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CCEC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9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280" w:type="dxa"/>
            <w:vAlign w:val="bottom"/>
            <w:tcBorders>
              <w:bottom w:val="single" w:sz="8" w:color="CCECFF"/>
            </w:tcBorders>
            <w:shd w:val="clear" w:color="auto" w:fill="CCEC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CCECFF"/>
            </w:tcBorders>
            <w:shd w:val="clear" w:color="auto" w:fill="CCECFF"/>
          </w:tcPr>
          <w:p>
            <w:pPr>
              <w:jc w:val="right"/>
              <w:ind w:right="121"/>
              <w:spacing w:after="0"/>
              <w:rPr>
                <w:sz w:val="20"/>
                <w:szCs w:val="20"/>
                <w:color w:val="auto"/>
              </w:rPr>
            </w:pPr>
            <w:r>
              <w:rPr>
                <w:rFonts w:ascii="Times New Roman" w:cs="Times New Roman" w:eastAsia="Times New Roman" w:hAnsi="Times New Roman"/>
                <w:sz w:val="16"/>
                <w:szCs w:val="16"/>
                <w:color w:val="auto"/>
              </w:rPr>
              <w:t>34,990</w:t>
            </w:r>
          </w:p>
        </w:tc>
        <w:tc>
          <w:tcPr>
            <w:tcW w:w="100" w:type="dxa"/>
            <w:vAlign w:val="bottom"/>
            <w:tcBorders>
              <w:bottom w:val="single" w:sz="8" w:color="CCECFF"/>
            </w:tcBorders>
            <w:shd w:val="clear" w:color="auto" w:fill="CCECFF"/>
          </w:tcPr>
          <w:p>
            <w:pPr>
              <w:spacing w:after="0"/>
              <w:rPr>
                <w:sz w:val="23"/>
                <w:szCs w:val="23"/>
                <w:color w:val="auto"/>
              </w:rPr>
            </w:pPr>
          </w:p>
        </w:tc>
        <w:tc>
          <w:tcPr>
            <w:tcW w:w="260" w:type="dxa"/>
            <w:vAlign w:val="bottom"/>
            <w:tcBorders>
              <w:bottom w:val="single" w:sz="8" w:color="CCECFF"/>
            </w:tcBorders>
            <w:shd w:val="clear" w:color="auto" w:fill="CCEC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bottom w:val="single" w:sz="8" w:color="CCECFF"/>
            </w:tcBorders>
            <w:shd w:val="clear" w:color="auto" w:fill="CCECFF"/>
          </w:tcPr>
          <w:p>
            <w:pPr>
              <w:jc w:val="right"/>
              <w:ind w:right="121"/>
              <w:spacing w:after="0"/>
              <w:rPr>
                <w:sz w:val="20"/>
                <w:szCs w:val="20"/>
                <w:color w:val="auto"/>
              </w:rPr>
            </w:pPr>
            <w:r>
              <w:rPr>
                <w:rFonts w:ascii="Times New Roman" w:cs="Times New Roman" w:eastAsia="Times New Roman" w:hAnsi="Times New Roman"/>
                <w:sz w:val="16"/>
                <w:szCs w:val="16"/>
                <w:color w:val="auto"/>
              </w:rPr>
              <w:t>34,507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CFF"/>
              <w:bottom w:val="single" w:sz="8" w:color="CCEC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Percentage of property and equipment, net held outside of the United States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9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Subsequent Events</w:t>
      </w:r>
    </w:p>
    <w:p>
      <w:pPr>
        <w:spacing w:after="0" w:line="59" w:lineRule="exact"/>
        <w:rPr>
          <w:sz w:val="20"/>
          <w:szCs w:val="20"/>
          <w:color w:val="auto"/>
        </w:rPr>
      </w:pPr>
    </w:p>
    <w:p>
      <w:pPr>
        <w:ind w:right="160" w:firstLine="289"/>
        <w:spacing w:after="0" w:line="284" w:lineRule="auto"/>
        <w:rPr>
          <w:sz w:val="20"/>
          <w:szCs w:val="20"/>
          <w:color w:val="auto"/>
        </w:rPr>
      </w:pPr>
      <w:r>
        <w:rPr>
          <w:rFonts w:ascii="Times New Roman" w:cs="Times New Roman" w:eastAsia="Times New Roman" w:hAnsi="Times New Roman"/>
          <w:sz w:val="16"/>
          <w:szCs w:val="16"/>
          <w:color w:val="auto"/>
        </w:rPr>
        <w:t>The Company evaluated subsequent events and transactions that occurred after the balance sheet date up to the date that the unaudited condensed consolidated financial statements were issued. Other than as described in these unaudited condensed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7" w:name="page28"/>
    <w:bookmarkEnd w:id="27"/>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consolidated financial statements and below, the Company did not identify any subsequent events that would have required adjustment or disclosure in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0600"/>
          </w:cols>
          <w:pgMar w:left="320" w:top="171" w:right="979" w:bottom="1440" w:gutter="0" w:footer="0" w:header="0"/>
        </w:sectPr>
      </w:pPr>
    </w:p>
    <w:bookmarkStart w:id="28" w:name="page29"/>
    <w:bookmarkEnd w:id="28"/>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65" w:lineRule="exact"/>
        <w:rPr>
          <w:sz w:val="20"/>
          <w:szCs w:val="20"/>
          <w:color w:val="auto"/>
        </w:rPr>
      </w:pPr>
    </w:p>
    <w:p>
      <w:pPr>
        <w:ind w:right="220" w:firstLine="410"/>
        <w:spacing w:after="0" w:line="257"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our financial condition and results of operations should be read in conjunction with our unaudited condensed consolidated financial statements and related notes thereto appearing elsewhere in this Quarterly Report on Form 10-Q/A and our audited consolidated financial statements and related notes thereto as of and for the year ended September 30, 2023, as included within our Annual Report on Form 10-K, as filed with the Securities and Exchange Commission on December 11, 2023. As discussed in the section titled “Cautionary Note on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Restatement of Previously Issued Unaudited Condensed Consolidated Financial Statements</w:t>
      </w:r>
    </w:p>
    <w:p>
      <w:pPr>
        <w:spacing w:after="0" w:line="107" w:lineRule="exact"/>
        <w:rPr>
          <w:sz w:val="20"/>
          <w:szCs w:val="20"/>
          <w:color w:val="auto"/>
        </w:rPr>
      </w:pPr>
    </w:p>
    <w:p>
      <w:pPr>
        <w:ind w:firstLine="289"/>
        <w:spacing w:after="0" w:line="258" w:lineRule="auto"/>
        <w:rPr>
          <w:sz w:val="20"/>
          <w:szCs w:val="20"/>
          <w:color w:val="auto"/>
        </w:rPr>
      </w:pPr>
      <w:r>
        <w:rPr>
          <w:rFonts w:ascii="Times New Roman" w:cs="Times New Roman" w:eastAsia="Times New Roman" w:hAnsi="Times New Roman"/>
          <w:sz w:val="16"/>
          <w:szCs w:val="16"/>
          <w:color w:val="auto"/>
        </w:rPr>
        <w:t xml:space="preserve">In this Quarterly Report on Form 10-Q/A, we have restated our previously issued unaudited condensed consolidated financial statements. Refer to the “Explanatory Note” preceding “Cautionary Note on Forward-Looking Statements” for background on the restatement, the fiscal periods impacted, and other information. As a result, we have also restated certain previously reported financial information for the three months ended December 30, 2023 in this “Item 2. Management’s Discussion and Analysis of Financial Condition and Results of Operations,” including but not limited to information within the “Results of Operations,” “Non-GAAP Financial Measures,” and “Liquidity and Capital Resources” sections to conform the discussion with the appropriate restated amounts. See “Item 1. Unaudited Condensed Consolidated Financial Statements, Note 3, </w:t>
      </w:r>
      <w:r>
        <w:rPr>
          <w:rFonts w:ascii="Times New Roman" w:cs="Times New Roman" w:eastAsia="Times New Roman" w:hAnsi="Times New Roman"/>
          <w:sz w:val="16"/>
          <w:szCs w:val="16"/>
          <w:i w:val="1"/>
          <w:iCs w:val="1"/>
          <w:color w:val="auto"/>
        </w:rPr>
        <w:t>Restatement of Previously Issued Unaudited Condensed Consolidated Financial Statements</w:t>
      </w:r>
      <w:r>
        <w:rPr>
          <w:rFonts w:ascii="Times New Roman" w:cs="Times New Roman" w:eastAsia="Times New Roman" w:hAnsi="Times New Roman"/>
          <w:sz w:val="16"/>
          <w:szCs w:val="16"/>
          <w:color w:val="auto"/>
        </w:rPr>
        <w:t>” for additional information related to the Restatement.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107" w:lineRule="exact"/>
        <w:rPr>
          <w:sz w:val="20"/>
          <w:szCs w:val="20"/>
          <w:color w:val="auto"/>
        </w:rPr>
      </w:pPr>
    </w:p>
    <w:p>
      <w:pPr>
        <w:ind w:right="100" w:firstLine="289"/>
        <w:spacing w:after="0" w:line="262" w:lineRule="auto"/>
        <w:rPr>
          <w:sz w:val="20"/>
          <w:szCs w:val="20"/>
          <w:color w:val="auto"/>
        </w:rPr>
      </w:pPr>
      <w:r>
        <w:rPr>
          <w:rFonts w:ascii="Times New Roman" w:cs="Times New Roman" w:eastAsia="Times New Roman" w:hAnsi="Times New Roman"/>
          <w:sz w:val="16"/>
          <w:szCs w:val="16"/>
          <w:color w:val="auto"/>
        </w:rPr>
        <w:t>At Symbotic, our vision is to make the supply chain work better for everyone. We do this by developing, commercializing, and deploying innovative, end-to-end technology solutions that dramatically improve supply chain operations. We currently automate the processing of pallets and cases in large warehouses or distribution centers for some of the largest retail companies in the world. Our systems enhance operations at the front end of the supply chain, and therefore benefit all supply partners further down the chain, irrespective of fulfillment strategy.</w:t>
      </w:r>
    </w:p>
    <w:p>
      <w:pPr>
        <w:spacing w:after="0" w:line="16" w:lineRule="exact"/>
        <w:rPr>
          <w:sz w:val="20"/>
          <w:szCs w:val="20"/>
          <w:color w:val="auto"/>
        </w:rPr>
      </w:pPr>
    </w:p>
    <w:p>
      <w:pPr>
        <w:ind w:right="20" w:firstLine="289"/>
        <w:spacing w:after="0" w:line="262" w:lineRule="auto"/>
        <w:rPr>
          <w:sz w:val="20"/>
          <w:szCs w:val="20"/>
          <w:color w:val="auto"/>
        </w:rPr>
      </w:pPr>
      <w:r>
        <w:rPr>
          <w:rFonts w:ascii="Times New Roman" w:cs="Times New Roman" w:eastAsia="Times New Roman" w:hAnsi="Times New Roman"/>
          <w:sz w:val="16"/>
          <w:szCs w:val="16"/>
          <w:color w:val="auto"/>
        </w:rPr>
        <w:t>The Symbotic platform is based on a unique approach to connecting producers of goods to end users, in a way that resolves the mismatches of quantity, timing and location that arise between the two, while reducing costs. The underlying architecture of our platform is what differentiates our solution from anything else in the marketplace. It utilizes fully autonomous robots, collectively controlled by our A.I. enabled system software to achieve at scale, real world supply chain improvements that are so compelling that we believe our approach can become the de facto standard approach for how warehouses operate.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Consolidated Statements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59" w:lineRule="exact"/>
        <w:rPr>
          <w:sz w:val="20"/>
          <w:szCs w:val="20"/>
          <w:color w:val="auto"/>
        </w:rPr>
      </w:pPr>
    </w:p>
    <w:p>
      <w:pPr>
        <w:ind w:right="40" w:firstLine="289"/>
        <w:spacing w:after="0" w:line="256" w:lineRule="auto"/>
        <w:rPr>
          <w:sz w:val="20"/>
          <w:szCs w:val="20"/>
          <w:color w:val="auto"/>
        </w:rPr>
      </w:pPr>
      <w:r>
        <w:rPr>
          <w:rFonts w:ascii="Times New Roman" w:cs="Times New Roman" w:eastAsia="Times New Roman" w:hAnsi="Times New Roman"/>
          <w:sz w:val="16"/>
          <w:szCs w:val="16"/>
          <w:color w:val="auto"/>
        </w:rPr>
        <w:t>We generate revenue through our design and installation of modular inventory management systems (the “Systems”) to automate customers’ depalletizing, storage, selection, and palletization warehousing processes. The Systems have both a hardware component and an embedded software component that enables the systems to be programmed to operate within specific customer environments. We enter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product or service on its own or together with other resources that are readily available and whether our commitment to provide the services to the customer is separately identifiable from other obligations in the contract.</w:t>
      </w:r>
    </w:p>
    <w:p>
      <w:pPr>
        <w:spacing w:after="0" w:line="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have identified the following distinct performance obligations in our contracts with customers:</w:t>
      </w:r>
    </w:p>
    <w:p>
      <w:pPr>
        <w:spacing w:after="0" w:line="57" w:lineRule="exact"/>
        <w:rPr>
          <w:sz w:val="20"/>
          <w:szCs w:val="20"/>
          <w:color w:val="auto"/>
        </w:rPr>
      </w:pPr>
    </w:p>
    <w:p>
      <w:pPr>
        <w:ind w:right="80" w:firstLine="289"/>
        <w:spacing w:after="0" w:line="267" w:lineRule="auto"/>
        <w:rPr>
          <w:sz w:val="20"/>
          <w:szCs w:val="20"/>
          <w:color w:val="auto"/>
        </w:rPr>
      </w:pPr>
      <w:r>
        <w:rPr>
          <w:rFonts w:ascii="Times New Roman" w:cs="Times New Roman" w:eastAsia="Times New Roman" w:hAnsi="Times New Roman"/>
          <w:sz w:val="16"/>
          <w:szCs w:val="16"/>
          <w:u w:val="single" w:color="auto"/>
          <w:color w:val="auto"/>
        </w:rPr>
        <w:t>Systems</w:t>
      </w:r>
      <w:r>
        <w:rPr>
          <w:rFonts w:ascii="Times New Roman" w:cs="Times New Roman" w:eastAsia="Times New Roman" w:hAnsi="Times New Roman"/>
          <w:sz w:val="16"/>
          <w:szCs w:val="16"/>
          <w:color w:val="auto"/>
        </w:rPr>
        <w:t>: We design, assemble, and install modular hardware systems and perform configuration of embedded software. Systems include the delivery of hardware and an embedded software component, sold as either a perpetual or term-based on-premise license, that automate our customers’ depalletizing, storage, selection, and palletization warehousing processes.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9" w:name="page30"/>
    <w:bookmarkEnd w:id="29"/>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6"/>
          <w:szCs w:val="16"/>
          <w:color w:val="auto"/>
        </w:rPr>
        <w:t>modular hardware and embedded software are each not capable of being distinct because our customers cannot benefit from the hardware or software on their own. Accordingly, they are treated as a single performance obligation. Fees for systems are typically either fixed or cost-plus fixed fee amounts that are due based on the achievement of a variety of milestones beginning at contract inception through final acceptance. The substantial majority of our embedded software component is sold as a perpetual on-premise license, however, we do sell an immaterial amount of term-based on-premise licenses.</w:t>
      </w:r>
    </w:p>
    <w:p>
      <w:pPr>
        <w:spacing w:after="0" w:line="16" w:lineRule="exact"/>
        <w:rPr>
          <w:sz w:val="20"/>
          <w:szCs w:val="20"/>
          <w:color w:val="auto"/>
        </w:rPr>
      </w:pPr>
    </w:p>
    <w:p>
      <w:pPr>
        <w:ind w:right="80" w:firstLine="289"/>
        <w:spacing w:after="0" w:line="262" w:lineRule="auto"/>
        <w:rPr>
          <w:sz w:val="20"/>
          <w:szCs w:val="20"/>
          <w:color w:val="auto"/>
        </w:rPr>
      </w:pPr>
      <w:r>
        <w:rPr>
          <w:rFonts w:ascii="Times New Roman" w:cs="Times New Roman" w:eastAsia="Times New Roman" w:hAnsi="Times New Roman"/>
          <w:sz w:val="16"/>
          <w:szCs w:val="16"/>
          <w:u w:val="single" w:color="auto"/>
          <w:color w:val="auto"/>
        </w:rPr>
        <w:t>Software maintenance and support</w:t>
      </w:r>
      <w:r>
        <w:rPr>
          <w:rFonts w:ascii="Times New Roman" w:cs="Times New Roman" w:eastAsia="Times New Roman" w:hAnsi="Times New Roman"/>
          <w:sz w:val="16"/>
          <w:szCs w:val="16"/>
          <w:color w:val="auto"/>
        </w:rPr>
        <w:t>: Software maintenance and support refer to support services that provide our customers with technical support, updates, and upgrades to the embedded software license. Fees for the software maintenance and support services are typically payable in advance on a quarterly, or annual basis over the term of the software maintenance and support service contract, which term can range from one to 15 years but, for a substantial majority of our software maintenance and support contracts, is 15 years.</w:t>
      </w:r>
    </w:p>
    <w:p>
      <w:pPr>
        <w:spacing w:after="0" w:line="16" w:lineRule="exact"/>
        <w:rPr>
          <w:sz w:val="20"/>
          <w:szCs w:val="20"/>
          <w:color w:val="auto"/>
        </w:rPr>
      </w:pPr>
    </w:p>
    <w:p>
      <w:pPr>
        <w:ind w:right="220" w:firstLine="289"/>
        <w:spacing w:after="0" w:line="284" w:lineRule="auto"/>
        <w:rPr>
          <w:sz w:val="20"/>
          <w:szCs w:val="20"/>
          <w:color w:val="auto"/>
        </w:rPr>
      </w:pPr>
      <w:r>
        <w:rPr>
          <w:rFonts w:ascii="Times New Roman" w:cs="Times New Roman" w:eastAsia="Times New Roman" w:hAnsi="Times New Roman"/>
          <w:sz w:val="16"/>
          <w:szCs w:val="16"/>
          <w:u w:val="single" w:color="auto"/>
          <w:color w:val="auto"/>
        </w:rPr>
        <w:t>Operation services</w:t>
      </w:r>
      <w:r>
        <w:rPr>
          <w:rFonts w:ascii="Times New Roman" w:cs="Times New Roman" w:eastAsia="Times New Roman" w:hAnsi="Times New Roman"/>
          <w:sz w:val="16"/>
          <w:szCs w:val="16"/>
          <w:color w:val="auto"/>
        </w:rPr>
        <w:t>: We provide our customers with assistance operating the system and ensuring user experience is optimized for efficiency and effectiveness. Fees for operation services are typically invoiced to our customers on a time and materials basis monthly in arrears or using a fixed fee structure.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 of Revenue</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cost of revenue is composed of the following for each of our distinct performance obligations:</w:t>
      </w:r>
    </w:p>
    <w:p>
      <w:pPr>
        <w:spacing w:after="0" w:line="57" w:lineRule="exact"/>
        <w:rPr>
          <w:sz w:val="20"/>
          <w:szCs w:val="20"/>
          <w:color w:val="auto"/>
        </w:rPr>
      </w:pPr>
    </w:p>
    <w:p>
      <w:pPr>
        <w:ind w:right="40" w:firstLine="289"/>
        <w:spacing w:after="0" w:line="259" w:lineRule="auto"/>
        <w:rPr>
          <w:sz w:val="20"/>
          <w:szCs w:val="20"/>
          <w:color w:val="auto"/>
        </w:rPr>
      </w:pPr>
      <w:r>
        <w:rPr>
          <w:rFonts w:ascii="Times New Roman" w:cs="Times New Roman" w:eastAsia="Times New Roman" w:hAnsi="Times New Roman"/>
          <w:sz w:val="16"/>
          <w:szCs w:val="16"/>
          <w:u w:val="single" w:color="auto"/>
          <w:color w:val="auto"/>
        </w:rPr>
        <w:t>Systems</w:t>
      </w:r>
      <w:r>
        <w:rPr>
          <w:rFonts w:ascii="Times New Roman" w:cs="Times New Roman" w:eastAsia="Times New Roman" w:hAnsi="Times New Roman"/>
          <w:sz w:val="16"/>
          <w:szCs w:val="16"/>
          <w:color w:val="auto"/>
        </w:rPr>
        <w:t>: Systems cost of revenue consists primarily of material and labor consumed in the production and installation of customer Systems, as well as depreciation expense. The design, assembly, and installation of a system includes substantive customer-specified acceptance criteria that allow the customer to accept or reject systems that do not meet the customer’s specifications. When we cannot objectively determine that acceptance criteria will be met upon contract inception, cost of revenue relating to systems is deferred and expensed at a point in time upon final acceptance from the customer. If acceptance can be reasonably certain upon contract inception, systems cost of revenue is expensed as incurred.</w:t>
      </w:r>
    </w:p>
    <w:p>
      <w:pPr>
        <w:spacing w:after="0" w:line="19" w:lineRule="exact"/>
        <w:rPr>
          <w:sz w:val="20"/>
          <w:szCs w:val="20"/>
          <w:color w:val="auto"/>
        </w:rPr>
      </w:pPr>
    </w:p>
    <w:p>
      <w:pPr>
        <w:ind w:right="180" w:firstLine="289"/>
        <w:spacing w:after="0" w:line="282" w:lineRule="auto"/>
        <w:rPr>
          <w:sz w:val="20"/>
          <w:szCs w:val="20"/>
          <w:color w:val="auto"/>
        </w:rPr>
      </w:pPr>
      <w:r>
        <w:rPr>
          <w:rFonts w:ascii="Times New Roman" w:cs="Times New Roman" w:eastAsia="Times New Roman" w:hAnsi="Times New Roman"/>
          <w:sz w:val="16"/>
          <w:szCs w:val="16"/>
          <w:u w:val="single" w:color="auto"/>
          <w:color w:val="auto"/>
        </w:rPr>
        <w:t>Software maintenance and support</w:t>
      </w:r>
      <w:r>
        <w:rPr>
          <w:rFonts w:ascii="Times New Roman" w:cs="Times New Roman" w:eastAsia="Times New Roman" w:hAnsi="Times New Roman"/>
          <w:sz w:val="16"/>
          <w:szCs w:val="16"/>
          <w:color w:val="auto"/>
        </w:rPr>
        <w:t>: Cost of revenue attributable to software maintenance and support primarily relates to labor cost for our maintenance team providing routine technical support, and maintenance updates and upgrades to our customers. Software maintenance and support cost of revenue is expensed as incurred.</w:t>
      </w:r>
    </w:p>
    <w:p>
      <w:pPr>
        <w:spacing w:after="0" w:line="1" w:lineRule="exact"/>
        <w:rPr>
          <w:sz w:val="20"/>
          <w:szCs w:val="20"/>
          <w:color w:val="auto"/>
        </w:rPr>
      </w:pPr>
    </w:p>
    <w:p>
      <w:pPr>
        <w:ind w:right="320" w:firstLine="289"/>
        <w:spacing w:after="0" w:line="284" w:lineRule="auto"/>
        <w:rPr>
          <w:sz w:val="20"/>
          <w:szCs w:val="20"/>
          <w:color w:val="auto"/>
        </w:rPr>
      </w:pPr>
      <w:r>
        <w:rPr>
          <w:rFonts w:ascii="Times New Roman" w:cs="Times New Roman" w:eastAsia="Times New Roman" w:hAnsi="Times New Roman"/>
          <w:sz w:val="16"/>
          <w:szCs w:val="16"/>
          <w:u w:val="single" w:color="auto"/>
          <w:color w:val="auto"/>
        </w:rPr>
        <w:t>Operation services</w:t>
      </w:r>
      <w:r>
        <w:rPr>
          <w:rFonts w:ascii="Times New Roman" w:cs="Times New Roman" w:eastAsia="Times New Roman" w:hAnsi="Times New Roman"/>
          <w:sz w:val="16"/>
          <w:szCs w:val="16"/>
          <w:color w:val="auto"/>
        </w:rPr>
        <w:t>: Operation services cost of revenue consists primarily of labor cost for our operations team who is providing services to our customers to run their System within their distribution center. Operation services cost of revenue is expensed as incurred.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w:t>
      </w:r>
    </w:p>
    <w:p>
      <w:pPr>
        <w:spacing w:after="0" w:line="59" w:lineRule="exact"/>
        <w:rPr>
          <w:sz w:val="20"/>
          <w:szCs w:val="20"/>
          <w:color w:val="auto"/>
        </w:rPr>
      </w:pPr>
    </w:p>
    <w:p>
      <w:pPr>
        <w:ind w:right="560" w:firstLine="289"/>
        <w:spacing w:after="0" w:line="284" w:lineRule="auto"/>
        <w:rPr>
          <w:sz w:val="20"/>
          <w:szCs w:val="20"/>
          <w:color w:val="auto"/>
        </w:rPr>
      </w:pPr>
      <w:r>
        <w:rPr>
          <w:rFonts w:ascii="Times New Roman" w:cs="Times New Roman" w:eastAsia="Times New Roman" w:hAnsi="Times New Roman"/>
          <w:sz w:val="16"/>
          <w:szCs w:val="16"/>
          <w:color w:val="auto"/>
        </w:rPr>
        <w:t>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General, and Administrative</w:t>
      </w:r>
    </w:p>
    <w:p>
      <w:pPr>
        <w:spacing w:after="0" w:line="59" w:lineRule="exact"/>
        <w:rPr>
          <w:sz w:val="20"/>
          <w:szCs w:val="20"/>
          <w:color w:val="auto"/>
        </w:rPr>
      </w:pPr>
    </w:p>
    <w:p>
      <w:pPr>
        <w:ind w:right="80" w:firstLine="289"/>
        <w:spacing w:after="0" w:line="262" w:lineRule="auto"/>
        <w:rPr>
          <w:sz w:val="20"/>
          <w:szCs w:val="20"/>
          <w:color w:val="auto"/>
        </w:rPr>
      </w:pPr>
      <w:r>
        <w:rPr>
          <w:rFonts w:ascii="Times New Roman" w:cs="Times New Roman" w:eastAsia="Times New Roman" w:hAnsi="Times New Roman"/>
          <w:sz w:val="16"/>
          <w:szCs w:val="16"/>
          <w:color w:val="auto"/>
        </w:rPr>
        <w:t>Selling, general, and administrative expenses include all costs that are not directly related to satisfaction of customer contracts or research and development. Selling, general, and administrative expenses include items for our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 (Expense), Net</w:t>
      </w:r>
    </w:p>
    <w:p>
      <w:pPr>
        <w:spacing w:after="0" w:line="59" w:lineRule="exact"/>
        <w:rPr>
          <w:sz w:val="20"/>
          <w:szCs w:val="20"/>
          <w:color w:val="auto"/>
        </w:rPr>
      </w:pPr>
    </w:p>
    <w:p>
      <w:pPr>
        <w:ind w:firstLine="289"/>
        <w:spacing w:after="0" w:line="284" w:lineRule="auto"/>
        <w:rPr>
          <w:sz w:val="20"/>
          <w:szCs w:val="20"/>
          <w:color w:val="auto"/>
        </w:rPr>
      </w:pPr>
      <w:r>
        <w:rPr>
          <w:rFonts w:ascii="Times New Roman" w:cs="Times New Roman" w:eastAsia="Times New Roman" w:hAnsi="Times New Roman"/>
          <w:sz w:val="16"/>
          <w:szCs w:val="16"/>
          <w:color w:val="auto"/>
        </w:rPr>
        <w:t>Other income (expense), net primarily consists of dividend and interest income earned on our money market accounts and the impact of foreign currency transaction gains and losses associated with monetary assets and liabilities.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59" w:lineRule="exact"/>
        <w:rPr>
          <w:sz w:val="20"/>
          <w:szCs w:val="20"/>
          <w:color w:val="auto"/>
        </w:rPr>
      </w:pPr>
    </w:p>
    <w:p>
      <w:pPr>
        <w:ind w:right="340" w:firstLine="289"/>
        <w:spacing w:after="0" w:line="284" w:lineRule="auto"/>
        <w:rPr>
          <w:sz w:val="20"/>
          <w:szCs w:val="20"/>
          <w:color w:val="auto"/>
        </w:rPr>
      </w:pPr>
      <w:r>
        <w:rPr>
          <w:rFonts w:ascii="Times New Roman" w:cs="Times New Roman" w:eastAsia="Times New Roman" w:hAnsi="Times New Roman"/>
          <w:sz w:val="16"/>
          <w:szCs w:val="16"/>
          <w:color w:val="auto"/>
        </w:rPr>
        <w:t>We are subject to U.S. federal income taxes, in addition to state and local income taxes, with respect to our allocable share of any taxable income or loss of Symbotic Holdings LLC. We also have foreign subsidiaries which are subject to income tax in their local jurisdictions.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 for the Three Months Ended December 30, 2023 and December 24, 2022</w:t>
      </w:r>
    </w:p>
    <w:p>
      <w:pPr>
        <w:spacing w:after="0" w:line="107" w:lineRule="exact"/>
        <w:rPr>
          <w:sz w:val="20"/>
          <w:szCs w:val="20"/>
          <w:color w:val="auto"/>
        </w:rPr>
      </w:pPr>
    </w:p>
    <w:p>
      <w:pPr>
        <w:ind w:firstLine="289"/>
        <w:spacing w:after="0" w:line="267" w:lineRule="auto"/>
        <w:rPr>
          <w:sz w:val="20"/>
          <w:szCs w:val="20"/>
          <w:color w:val="auto"/>
        </w:rPr>
      </w:pPr>
      <w:r>
        <w:rPr>
          <w:rFonts w:ascii="Times New Roman" w:cs="Times New Roman" w:eastAsia="Times New Roman" w:hAnsi="Times New Roman"/>
          <w:sz w:val="16"/>
          <w:szCs w:val="16"/>
          <w:color w:val="auto"/>
        </w:rPr>
        <w:t>The following tables set forth our results of operations for the periods presented and as a percentage of our total revenue for those periods. The data has been derived from the unaudited condensed consolidated financial statements contained in this Quarterly Report on Form 10-Q/A which include, in our opinion, all adjustments, consisting only of normal recurring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0" w:name="page31"/>
    <w:bookmarkEnd w:id="30"/>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6"/>
          <w:szCs w:val="16"/>
          <w:color w:val="auto"/>
        </w:rPr>
        <w:t>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8"/>
        </w:trPr>
        <w:tc>
          <w:tcPr>
            <w:tcW w:w="8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3"/>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20" w:type="dxa"/>
            <w:vAlign w:val="bottom"/>
          </w:tcPr>
          <w:p>
            <w:pPr>
              <w:spacing w:after="0"/>
              <w:rPr>
                <w:sz w:val="16"/>
                <w:szCs w:val="16"/>
                <w:color w:val="auto"/>
              </w:rPr>
            </w:pP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24, 2022</w:t>
            </w:r>
          </w:p>
        </w:tc>
      </w:tr>
      <w:tr>
        <w:trPr>
          <w:trHeight w:val="28"/>
        </w:trPr>
        <w:tc>
          <w:tcPr>
            <w:tcW w:w="8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3"/>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29"/>
        </w:trPr>
        <w:tc>
          <w:tcPr>
            <w:tcW w:w="8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color w:val="auto"/>
              </w:rPr>
              <w:t>(in thousands)</w:t>
            </w:r>
          </w:p>
        </w:tc>
      </w:tr>
      <w:tr>
        <w:trPr>
          <w:trHeight w:val="28"/>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17"/>
        </w:trPr>
        <w:tc>
          <w:tcPr>
            <w:tcW w:w="8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197,901</w:t>
            </w: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3"/>
        </w:trPr>
        <w:tc>
          <w:tcPr>
            <w:tcW w:w="8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r>
      <w:tr>
        <w:trPr>
          <w:trHeight w:val="217"/>
        </w:trPr>
        <w:tc>
          <w:tcPr>
            <w:tcW w:w="8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7,174</w:t>
            </w:r>
          </w:p>
        </w:tc>
      </w:tr>
      <w:tr>
        <w:trPr>
          <w:trHeight w:val="36"/>
        </w:trPr>
        <w:tc>
          <w:tcPr>
            <w:tcW w:w="82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5"/>
        </w:trPr>
        <w:tc>
          <w:tcPr>
            <w:tcW w:w="8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359,943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206,312</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Cost of revenue: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3"/>
        </w:trPr>
        <w:tc>
          <w:tcPr>
            <w:tcW w:w="8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160,931</w:t>
            </w:r>
          </w:p>
        </w:tc>
      </w:tr>
      <w:tr>
        <w:trPr>
          <w:trHeight w:val="217"/>
        </w:trPr>
        <w:tc>
          <w:tcPr>
            <w:tcW w:w="8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3"/>
        </w:trPr>
        <w:tc>
          <w:tcPr>
            <w:tcW w:w="8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8,516</w:t>
            </w:r>
          </w:p>
        </w:tc>
      </w:tr>
      <w:tr>
        <w:trPr>
          <w:trHeight w:val="209"/>
        </w:trPr>
        <w:tc>
          <w:tcPr>
            <w:tcW w:w="82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cost of revenue</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295,886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171,118</w:t>
            </w:r>
          </w:p>
        </w:tc>
      </w:tr>
      <w:tr>
        <w:trPr>
          <w:trHeight w:val="36"/>
        </w:trPr>
        <w:tc>
          <w:tcPr>
            <w:tcW w:w="82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5"/>
        </w:trPr>
        <w:tc>
          <w:tcPr>
            <w:tcW w:w="8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35,194</w:t>
            </w:r>
          </w:p>
        </w:tc>
      </w:tr>
      <w:tr>
        <w:trPr>
          <w:trHeight w:val="19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Operating expenses:</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3"/>
        </w:trPr>
        <w:tc>
          <w:tcPr>
            <w:tcW w:w="8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50,740</w:t>
            </w:r>
          </w:p>
        </w:tc>
      </w:tr>
      <w:tr>
        <w:trPr>
          <w:trHeight w:val="217"/>
        </w:trPr>
        <w:tc>
          <w:tcPr>
            <w:tcW w:w="8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54,023</w:t>
            </w:r>
          </w:p>
        </w:tc>
      </w:tr>
      <w:tr>
        <w:trPr>
          <w:trHeight w:val="36"/>
        </w:trPr>
        <w:tc>
          <w:tcPr>
            <w:tcW w:w="82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5"/>
        </w:trPr>
        <w:tc>
          <w:tcPr>
            <w:tcW w:w="8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104,763</w:t>
            </w:r>
          </w:p>
        </w:tc>
      </w:tr>
      <w:tr>
        <w:trPr>
          <w:trHeight w:val="209"/>
        </w:trPr>
        <w:tc>
          <w:tcPr>
            <w:tcW w:w="8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loss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(25,099)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(69,569)</w:t>
            </w: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w:t>
            </w:r>
          </w:p>
        </w:tc>
      </w:tr>
      <w:tr>
        <w:trPr>
          <w:trHeight w:val="209"/>
        </w:trPr>
        <w:tc>
          <w:tcPr>
            <w:tcW w:w="8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before income tax</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(67,735)</w:t>
            </w:r>
          </w:p>
        </w:tc>
      </w:tr>
      <w:tr>
        <w:trPr>
          <w:trHeight w:val="36"/>
        </w:trPr>
        <w:tc>
          <w:tcPr>
            <w:tcW w:w="8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39"/>
        </w:trPr>
        <w:tc>
          <w:tcPr>
            <w:tcW w:w="8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(19,072)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(67,986)</w:t>
            </w:r>
          </w:p>
        </w:tc>
      </w:tr>
      <w:tr>
        <w:trPr>
          <w:trHeight w:val="22"/>
        </w:trPr>
        <w:tc>
          <w:tcPr>
            <w:tcW w:w="8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1" w:name="page32"/>
    <w:bookmarkEnd w:id="31"/>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20" w:type="dxa"/>
            <w:vAlign w:val="bottom"/>
          </w:tcPr>
          <w:p>
            <w:pPr>
              <w:spacing w:after="0"/>
              <w:rPr>
                <w:sz w:val="16"/>
                <w:szCs w:val="16"/>
                <w:color w:val="auto"/>
              </w:rPr>
            </w:pPr>
          </w:p>
        </w:tc>
        <w:tc>
          <w:tcPr>
            <w:tcW w:w="324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8"/>
        </w:trPr>
        <w:tc>
          <w:tcPr>
            <w:tcW w:w="802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3"/>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5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24, 2022</w:t>
            </w:r>
          </w:p>
        </w:tc>
      </w:tr>
      <w:tr>
        <w:trPr>
          <w:trHeight w:val="28"/>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3"/>
        </w:trPr>
        <w:tc>
          <w:tcPr>
            <w:tcW w:w="802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580" w:type="dxa"/>
            <w:vAlign w:val="bottom"/>
          </w:tcPr>
          <w:p>
            <w:pPr>
              <w:spacing w:after="0"/>
              <w:rPr>
                <w:sz w:val="16"/>
                <w:szCs w:val="16"/>
                <w:color w:val="auto"/>
              </w:rPr>
            </w:pPr>
          </w:p>
        </w:tc>
      </w:tr>
      <w:tr>
        <w:trPr>
          <w:trHeight w:val="28"/>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17"/>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96 %</w:t>
            </w:r>
          </w:p>
        </w:tc>
      </w:tr>
      <w:tr>
        <w:trPr>
          <w:trHeight w:val="36"/>
        </w:trPr>
        <w:tc>
          <w:tcPr>
            <w:tcW w:w="80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3"/>
        </w:trPr>
        <w:tc>
          <w:tcPr>
            <w:tcW w:w="80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56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217"/>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15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5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r>
      <w:tr>
        <w:trPr>
          <w:trHeight w:val="36"/>
        </w:trPr>
        <w:tc>
          <w:tcPr>
            <w:tcW w:w="80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5"/>
        </w:trPr>
        <w:tc>
          <w:tcPr>
            <w:tcW w:w="80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revenue</w:t>
            </w:r>
          </w:p>
        </w:tc>
        <w:tc>
          <w:tcPr>
            <w:tcW w:w="156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r>
      <w:tr>
        <w:trPr>
          <w:trHeight w:val="217"/>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Cost of revenue: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6"/>
        </w:trPr>
        <w:tc>
          <w:tcPr>
            <w:tcW w:w="80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3"/>
        </w:trPr>
        <w:tc>
          <w:tcPr>
            <w:tcW w:w="80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156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w:t>
            </w:r>
          </w:p>
        </w:tc>
      </w:tr>
      <w:tr>
        <w:trPr>
          <w:trHeight w:val="217"/>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36"/>
        </w:trPr>
        <w:tc>
          <w:tcPr>
            <w:tcW w:w="80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3"/>
        </w:trPr>
        <w:tc>
          <w:tcPr>
            <w:tcW w:w="80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156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r>
      <w:tr>
        <w:trPr>
          <w:trHeight w:val="209"/>
        </w:trPr>
        <w:tc>
          <w:tcPr>
            <w:tcW w:w="80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cost of revenue</w:t>
            </w:r>
          </w:p>
        </w:tc>
        <w:tc>
          <w:tcPr>
            <w:tcW w:w="156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158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83</w:t>
            </w:r>
          </w:p>
        </w:tc>
      </w:tr>
      <w:tr>
        <w:trPr>
          <w:trHeight w:val="36"/>
        </w:trPr>
        <w:tc>
          <w:tcPr>
            <w:tcW w:w="80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5"/>
        </w:trPr>
        <w:tc>
          <w:tcPr>
            <w:tcW w:w="80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156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Operating expenses:</w:t>
            </w: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36"/>
        </w:trPr>
        <w:tc>
          <w:tcPr>
            <w:tcW w:w="80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3"/>
        </w:trPr>
        <w:tc>
          <w:tcPr>
            <w:tcW w:w="80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56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r>
      <w:tr>
        <w:trPr>
          <w:trHeight w:val="217"/>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5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5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r>
      <w:tr>
        <w:trPr>
          <w:trHeight w:val="36"/>
        </w:trPr>
        <w:tc>
          <w:tcPr>
            <w:tcW w:w="80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5"/>
        </w:trPr>
        <w:tc>
          <w:tcPr>
            <w:tcW w:w="80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56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r>
      <w:tr>
        <w:trPr>
          <w:trHeight w:val="209"/>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loss</w:t>
            </w:r>
          </w:p>
        </w:tc>
        <w:tc>
          <w:tcPr>
            <w:tcW w:w="156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5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(34)</w:t>
            </w:r>
          </w:p>
        </w:tc>
      </w:tr>
      <w:tr>
        <w:trPr>
          <w:trHeight w:val="36"/>
        </w:trPr>
        <w:tc>
          <w:tcPr>
            <w:tcW w:w="80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56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80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sectPr>
          <w:pgSz w:w="11900" w:h="16838" w:orient="portrait"/>
          <w:cols w:equalWidth="0" w:num="1">
            <w:col w:w="11260"/>
          </w:cols>
          <w:pgMar w:left="320" w:top="171" w:right="319" w:bottom="1440" w:gutter="0" w:footer="0" w:header="0"/>
        </w:sectPr>
      </w:pPr>
    </w:p>
    <w:p>
      <w:pPr>
        <w:ind w:left="300"/>
        <w:spacing w:after="0"/>
        <w:rPr>
          <w:sz w:val="20"/>
          <w:szCs w:val="20"/>
          <w:color w:val="auto"/>
        </w:rPr>
      </w:pPr>
      <w:r>
        <w:rPr>
          <w:rFonts w:ascii="Times New Roman" w:cs="Times New Roman" w:eastAsia="Times New Roman" w:hAnsi="Times New Roman"/>
          <w:sz w:val="16"/>
          <w:szCs w:val="16"/>
          <w:color w:val="auto"/>
        </w:rPr>
        <w:t>Loss before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6925" cy="160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6925" cy="16065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Income tax expense</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Net loss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Percentages are based on actual values. Totals may not sum due to rounding.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Three Months Ended December 30, 2023 Compared to the Three Months Ended December 24, 2022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38735</wp:posOffset>
            </wp:positionV>
            <wp:extent cx="99504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95045" cy="762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38735</wp:posOffset>
            </wp:positionV>
            <wp:extent cx="99504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95045" cy="7620"/>
                    </a:xfrm>
                    <a:prstGeom prst="rect">
                      <a:avLst/>
                    </a:prstGeom>
                    <a:noFill/>
                  </pic:spPr>
                </pic:pic>
              </a:graphicData>
            </a:graphic>
          </wp:anchor>
        </w:drawing>
        <w:drawing>
          <wp:anchor simplePos="0" relativeHeight="251657728" behindDoc="1" locked="0" layoutInCell="0" allowOverlap="1">
            <wp:simplePos x="0" y="0"/>
            <wp:positionH relativeFrom="column">
              <wp:posOffset>-772795</wp:posOffset>
            </wp:positionH>
            <wp:positionV relativeFrom="paragraph">
              <wp:posOffset>62230</wp:posOffset>
            </wp:positionV>
            <wp:extent cx="99504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9504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(33)</w:t>
      </w:r>
    </w:p>
    <w:p>
      <w:pPr>
        <w:spacing w:after="0" w:line="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38735</wp:posOffset>
            </wp:positionV>
            <wp:extent cx="100266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02665" cy="762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38735</wp:posOffset>
            </wp:positionV>
            <wp:extent cx="100266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02665" cy="7620"/>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62230</wp:posOffset>
            </wp:positionV>
            <wp:extent cx="100266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02665" cy="7620"/>
                    </a:xfrm>
                    <a:prstGeom prst="rect">
                      <a:avLst/>
                    </a:prstGeom>
                    <a:noFill/>
                  </pic:spPr>
                </pic:pic>
              </a:graphicData>
            </a:graphic>
          </wp:anchor>
        </w:drawing>
      </w:r>
    </w:p>
    <w:p>
      <w:pPr>
        <w:spacing w:after="0" w:line="1107" w:lineRule="exact"/>
        <w:rPr>
          <w:sz w:val="20"/>
          <w:szCs w:val="20"/>
          <w:color w:val="auto"/>
        </w:rPr>
      </w:pPr>
    </w:p>
    <w:p>
      <w:pPr>
        <w:sectPr>
          <w:pgSz w:w="11900" w:h="16838" w:orient="portrait"/>
          <w:cols w:equalWidth="0" w:num="3">
            <w:col w:w="8520" w:space="720"/>
            <w:col w:w="860" w:space="720"/>
            <w:col w:w="440"/>
          </w:cols>
          <w:pgMar w:left="320" w:top="171" w:right="31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6"/>
                <w:szCs w:val="16"/>
                <w:color w:val="auto"/>
              </w:rPr>
            </w:pPr>
          </w:p>
        </w:tc>
        <w:tc>
          <w:tcPr>
            <w:tcW w:w="166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r>
      <w:tr>
        <w:trPr>
          <w:trHeight w:val="28"/>
        </w:trPr>
        <w:tc>
          <w:tcPr>
            <w:tcW w:w="5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3"/>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0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24, 2022</w:t>
            </w:r>
          </w:p>
        </w:tc>
        <w:tc>
          <w:tcPr>
            <w:tcW w:w="220" w:type="dxa"/>
            <w:vAlign w:val="bottom"/>
          </w:tcPr>
          <w:p>
            <w:pPr>
              <w:spacing w:after="0"/>
              <w:rPr>
                <w:sz w:val="16"/>
                <w:szCs w:val="16"/>
                <w:color w:val="auto"/>
              </w:rPr>
            </w:pPr>
          </w:p>
        </w:tc>
        <w:tc>
          <w:tcPr>
            <w:tcW w:w="166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
        </w:trPr>
        <w:tc>
          <w:tcPr>
            <w:tcW w:w="5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3"/>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4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29"/>
        </w:trPr>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gridSpan w:val="6"/>
          </w:tcPr>
          <w:p>
            <w:pPr>
              <w:ind w:left="820"/>
              <w:spacing w:after="0"/>
              <w:rPr>
                <w:sz w:val="20"/>
                <w:szCs w:val="20"/>
                <w:color w:val="auto"/>
              </w:rPr>
            </w:pPr>
            <w:r>
              <w:rPr>
                <w:rFonts w:ascii="Times New Roman" w:cs="Times New Roman" w:eastAsia="Times New Roman" w:hAnsi="Times New Roman"/>
                <w:sz w:val="14"/>
                <w:szCs w:val="14"/>
                <w:color w:val="auto"/>
              </w:rPr>
              <w:t>(dollars in thousands)</w:t>
            </w:r>
          </w:p>
        </w:tc>
        <w:tc>
          <w:tcPr>
            <w:tcW w:w="1240" w:type="dxa"/>
            <w:vAlign w:val="bottom"/>
          </w:tcPr>
          <w:p>
            <w:pPr>
              <w:spacing w:after="0"/>
              <w:rPr>
                <w:sz w:val="19"/>
                <w:szCs w:val="19"/>
                <w:color w:val="auto"/>
              </w:rPr>
            </w:pPr>
          </w:p>
        </w:tc>
      </w:tr>
      <w:tr>
        <w:trPr>
          <w:trHeight w:val="28"/>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347,705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197,901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17"/>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36"/>
        </w:trPr>
        <w:tc>
          <w:tcPr>
            <w:tcW w:w="5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services</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39"/>
        </w:trPr>
        <w:tc>
          <w:tcPr>
            <w:tcW w:w="5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359,943</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206,312</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2"/>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16" w:lineRule="exact"/>
        <w:rPr>
          <w:sz w:val="20"/>
          <w:szCs w:val="20"/>
          <w:color w:val="auto"/>
        </w:rPr>
      </w:pPr>
    </w:p>
    <w:p>
      <w:pPr>
        <w:ind w:right="140" w:firstLine="289"/>
        <w:spacing w:after="0" w:line="258" w:lineRule="auto"/>
        <w:rPr>
          <w:sz w:val="20"/>
          <w:szCs w:val="20"/>
          <w:color w:val="auto"/>
        </w:rPr>
      </w:pPr>
      <w:r>
        <w:rPr>
          <w:rFonts w:ascii="Times New Roman" w:cs="Times New Roman" w:eastAsia="Times New Roman" w:hAnsi="Times New Roman"/>
          <w:sz w:val="16"/>
          <w:szCs w:val="16"/>
          <w:color w:val="auto"/>
        </w:rPr>
        <w:t>Systems revenue increased during the three months ended December 30, 2023 as compared to the three months ended December 24, 2022 due to there being 37 system deployments in progress during the fiscal quarter ending December 30, 2023 as compared to 22 system deployments in progress in the same quarter of fiscal 2022. The increase resulting from the deployments of our warehouse automation system is primarily due to the ongoing Master Automation Agreement with Walmart, for which we are performing the installation and implementation of our warehouse automation system within all of Walmart’s 42 regional distribution centers, and which is expected to continue to produce systems revenue as the warehouse automation systems are installed and implemented at the remaining regional distribution centers through fiscal year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32" w:name="page33"/>
    <w:bookmarkEnd w:id="32"/>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firstLine="289"/>
        <w:spacing w:after="0" w:line="282" w:lineRule="auto"/>
        <w:rPr>
          <w:sz w:val="20"/>
          <w:szCs w:val="20"/>
          <w:color w:val="auto"/>
        </w:rPr>
      </w:pPr>
      <w:r>
        <w:rPr>
          <w:rFonts w:ascii="Times New Roman" w:cs="Times New Roman" w:eastAsia="Times New Roman" w:hAnsi="Times New Roman"/>
          <w:sz w:val="16"/>
          <w:szCs w:val="16"/>
          <w:color w:val="auto"/>
        </w:rPr>
        <w:t>The increase in software maintenance and support revenue is due to there being four additional sites under software maintenance and support contracts contributing to our software maintenance and support revenue balance for the three months ended December 30, 2023 as compared to the three months ended December 24, 2022.</w:t>
      </w:r>
    </w:p>
    <w:p>
      <w:pPr>
        <w:spacing w:after="0" w:line="1" w:lineRule="exact"/>
        <w:rPr>
          <w:sz w:val="20"/>
          <w:szCs w:val="20"/>
          <w:color w:val="auto"/>
        </w:rPr>
      </w:pPr>
    </w:p>
    <w:p>
      <w:pPr>
        <w:jc w:val="both"/>
        <w:ind w:right="120" w:firstLine="289"/>
        <w:spacing w:after="0" w:line="284" w:lineRule="auto"/>
        <w:rPr>
          <w:sz w:val="20"/>
          <w:szCs w:val="20"/>
          <w:color w:val="auto"/>
        </w:rPr>
      </w:pPr>
      <w:r>
        <w:rPr>
          <w:rFonts w:ascii="Times New Roman" w:cs="Times New Roman" w:eastAsia="Times New Roman" w:hAnsi="Times New Roman"/>
          <w:sz w:val="16"/>
          <w:szCs w:val="16"/>
          <w:color w:val="auto"/>
        </w:rPr>
        <w:t>The increase in operation services revenue is attributable to an increase in sites where we are performing operation services during the three months ended December 30, 2023 as compared to the three months ended December 24, 2022 due to an increased number of systems in deployment during the period as compared to the prior year.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Gross Profit</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sets forth our gross profit for the three months ended December 30, 2023 and December 24,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6"/>
                <w:szCs w:val="16"/>
                <w:color w:val="auto"/>
              </w:rPr>
            </w:pPr>
          </w:p>
        </w:tc>
        <w:tc>
          <w:tcPr>
            <w:tcW w:w="124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8"/>
        </w:trPr>
        <w:tc>
          <w:tcPr>
            <w:tcW w:w="6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3"/>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24, 2022</w:t>
            </w:r>
          </w:p>
        </w:tc>
        <w:tc>
          <w:tcPr>
            <w:tcW w:w="220" w:type="dxa"/>
            <w:vAlign w:val="bottom"/>
          </w:tcPr>
          <w:p>
            <w:pPr>
              <w:spacing w:after="0"/>
              <w:rPr>
                <w:sz w:val="16"/>
                <w:szCs w:val="16"/>
                <w:color w:val="auto"/>
              </w:rPr>
            </w:pPr>
          </w:p>
        </w:tc>
        <w:tc>
          <w:tcPr>
            <w:tcW w:w="124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8"/>
        </w:trPr>
        <w:tc>
          <w:tcPr>
            <w:tcW w:w="6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3"/>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29"/>
        </w:trPr>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8"/>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26,789</w:t>
            </w: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877</w:t>
            </w:r>
          </w:p>
        </w:tc>
      </w:tr>
      <w:tr>
        <w:trPr>
          <w:trHeight w:val="36"/>
        </w:trPr>
        <w:tc>
          <w:tcPr>
            <w:tcW w:w="6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services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1,197</w:t>
            </w:r>
          </w:p>
        </w:tc>
      </w:tr>
      <w:tr>
        <w:trPr>
          <w:trHeight w:val="239"/>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gross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64,057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35,194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28,863</w:t>
            </w:r>
          </w:p>
        </w:tc>
      </w:tr>
      <w:tr>
        <w:trPr>
          <w:trHeight w:val="22"/>
        </w:trPr>
        <w:tc>
          <w:tcPr>
            <w:tcW w:w="6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jc w:val="both"/>
        <w:ind w:right="120" w:firstLine="289"/>
        <w:spacing w:after="0" w:line="267" w:lineRule="auto"/>
        <w:rPr>
          <w:sz w:val="20"/>
          <w:szCs w:val="20"/>
          <w:color w:val="auto"/>
        </w:rPr>
      </w:pPr>
      <w:r>
        <w:rPr>
          <w:rFonts w:ascii="Times New Roman" w:cs="Times New Roman" w:eastAsia="Times New Roman" w:hAnsi="Times New Roman"/>
          <w:sz w:val="16"/>
          <w:szCs w:val="16"/>
          <w:color w:val="auto"/>
        </w:rPr>
        <w:t>Systems gross profit increased $26.8 million during the three months ended December 30, 2023 as compared to the three months ended December 24, 2022 due to there being 37 system deployments in progress during the fiscal quarter ending December 30, 2023 as compared to 22 system deployments in progress in the same quarter of fiscal 2022.</w:t>
      </w:r>
    </w:p>
    <w:p>
      <w:pPr>
        <w:spacing w:after="0" w:line="13" w:lineRule="exact"/>
        <w:rPr>
          <w:sz w:val="20"/>
          <w:szCs w:val="20"/>
          <w:color w:val="auto"/>
        </w:rPr>
      </w:pPr>
    </w:p>
    <w:p>
      <w:pPr>
        <w:ind w:right="60" w:firstLine="289"/>
        <w:spacing w:after="0" w:line="282" w:lineRule="auto"/>
        <w:rPr>
          <w:sz w:val="20"/>
          <w:szCs w:val="20"/>
          <w:color w:val="auto"/>
        </w:rPr>
      </w:pPr>
      <w:r>
        <w:rPr>
          <w:rFonts w:ascii="Times New Roman" w:cs="Times New Roman" w:eastAsia="Times New Roman" w:hAnsi="Times New Roman"/>
          <w:sz w:val="16"/>
          <w:szCs w:val="16"/>
          <w:color w:val="auto"/>
        </w:rPr>
        <w:t>The increase in software maintenance and support gross profit is due to an increase in revenues for the three months ended December 30, 2023 while costs to perform our maintenance and support services remained relatively flat.</w:t>
      </w:r>
    </w:p>
    <w:p>
      <w:pPr>
        <w:spacing w:after="0" w:line="1" w:lineRule="exact"/>
        <w:rPr>
          <w:sz w:val="20"/>
          <w:szCs w:val="20"/>
          <w:color w:val="auto"/>
        </w:rPr>
      </w:pPr>
    </w:p>
    <w:p>
      <w:pPr>
        <w:ind w:right="120" w:firstLine="289"/>
        <w:spacing w:after="0" w:line="284" w:lineRule="auto"/>
        <w:rPr>
          <w:sz w:val="20"/>
          <w:szCs w:val="20"/>
          <w:color w:val="auto"/>
        </w:rPr>
      </w:pPr>
      <w:r>
        <w:rPr>
          <w:rFonts w:ascii="Times New Roman" w:cs="Times New Roman" w:eastAsia="Times New Roman" w:hAnsi="Times New Roman"/>
          <w:sz w:val="16"/>
          <w:szCs w:val="16"/>
          <w:color w:val="auto"/>
        </w:rPr>
        <w:t>The increase in operation services gross profit is driven by an increase to the number of sites where we are performing operation services and efficiency improvement on our existing operation services sites.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8"/>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3"/>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6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24, 2022</w:t>
            </w:r>
          </w:p>
        </w:tc>
        <w:tc>
          <w:tcPr>
            <w:tcW w:w="260" w:type="dxa"/>
            <w:vAlign w:val="bottom"/>
          </w:tcPr>
          <w:p>
            <w:pPr>
              <w:spacing w:after="0"/>
              <w:rPr>
                <w:sz w:val="16"/>
                <w:szCs w:val="16"/>
                <w:color w:val="auto"/>
              </w:rPr>
            </w:pPr>
          </w:p>
        </w:tc>
        <w:tc>
          <w:tcPr>
            <w:tcW w:w="1700" w:type="dxa"/>
            <w:vAlign w:val="bottom"/>
          </w:tcPr>
          <w:p>
            <w:pPr>
              <w:jc w:val="right"/>
              <w:ind w:right="92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3"/>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20" w:type="dxa"/>
            <w:vAlign w:val="bottom"/>
            <w:gridSpan w:val="4"/>
          </w:tcPr>
          <w:p>
            <w:pPr>
              <w:jc w:val="right"/>
              <w:ind w:right="1365"/>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spacing w:after="0"/>
              <w:rPr>
                <w:sz w:val="16"/>
                <w:szCs w:val="16"/>
                <w:color w:val="auto"/>
              </w:rPr>
            </w:pPr>
          </w:p>
        </w:tc>
      </w:tr>
      <w:tr>
        <w:trPr>
          <w:trHeight w:val="28"/>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42,144</w:t>
            </w:r>
          </w:p>
        </w:tc>
        <w:tc>
          <w:tcPr>
            <w:tcW w:w="920" w:type="dxa"/>
            <w:vAlign w:val="bottom"/>
            <w:tcBorders>
              <w:bottom w:val="single" w:sz="8" w:color="CCEEFF"/>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50,740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rPr>
              <w:t>(8,596)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7"/>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 (As restated)</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140" w:lineRule="exact"/>
        <w:rPr>
          <w:sz w:val="20"/>
          <w:szCs w:val="20"/>
          <w:color w:val="auto"/>
        </w:rPr>
      </w:pPr>
    </w:p>
    <w:p>
      <w:pPr>
        <w:ind w:right="140" w:firstLine="289"/>
        <w:spacing w:after="0" w:line="284" w:lineRule="auto"/>
        <w:rPr>
          <w:sz w:val="20"/>
          <w:szCs w:val="20"/>
          <w:color w:val="auto"/>
        </w:rPr>
      </w:pPr>
      <w:r>
        <w:rPr>
          <w:rFonts w:ascii="Times New Roman" w:cs="Times New Roman" w:eastAsia="Times New Roman" w:hAnsi="Times New Roman"/>
          <w:sz w:val="16"/>
          <w:szCs w:val="16"/>
          <w:color w:val="auto"/>
        </w:rPr>
        <w:t>The decrease in research and development expenses for the three months ended December 30, 2023 as compared to the three months ended December 24, 2022 is due to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8"/>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3"/>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283"/>
              <w:spacing w:after="0"/>
              <w:rPr>
                <w:sz w:val="20"/>
                <w:szCs w:val="20"/>
                <w:color w:val="auto"/>
              </w:rPr>
            </w:pPr>
            <w:r>
              <w:rPr>
                <w:rFonts w:ascii="Times New Roman" w:cs="Times New Roman" w:eastAsia="Times New Roman" w:hAnsi="Times New Roman"/>
                <w:sz w:val="14"/>
                <w:szCs w:val="14"/>
                <w:color w:val="auto"/>
              </w:rPr>
              <w:t>(in thousands)</w:t>
            </w:r>
          </w:p>
        </w:tc>
      </w:tr>
      <w:tr>
        <w:trPr>
          <w:trHeight w:val="28"/>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3"/>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Employee-related costs</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(10,456)</w:t>
            </w:r>
          </w:p>
        </w:tc>
      </w:tr>
      <w:tr>
        <w:trPr>
          <w:trHeight w:val="217"/>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Prototype-related costs, allocated overhead expenses, and other</w:t>
            </w:r>
          </w:p>
        </w:tc>
        <w:tc>
          <w:tcPr>
            <w:tcW w:w="22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1,860</w:t>
            </w:r>
          </w:p>
        </w:tc>
      </w:tr>
      <w:tr>
        <w:trPr>
          <w:trHeight w:val="36"/>
        </w:trPr>
        <w:tc>
          <w:tcPr>
            <w:tcW w:w="97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70"/>
        </w:trPr>
        <w:tc>
          <w:tcPr>
            <w:tcW w:w="97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right="120" w:firstLine="289"/>
        <w:spacing w:after="0" w:line="259" w:lineRule="auto"/>
        <w:rPr>
          <w:sz w:val="20"/>
          <w:szCs w:val="20"/>
          <w:color w:val="auto"/>
        </w:rPr>
      </w:pPr>
      <w:r>
        <w:rPr>
          <w:rFonts w:ascii="Times New Roman" w:cs="Times New Roman" w:eastAsia="Times New Roman" w:hAnsi="Times New Roman"/>
          <w:sz w:val="16"/>
          <w:szCs w:val="16"/>
          <w:color w:val="auto"/>
        </w:rPr>
        <w:t>Employee-related costs decreased primarily as a result of a decrease in stock-based compensation expense and expense incurred for contractors. As we apply the graded-vesting method of expense recognition to all stock-based compensation awards with service-only conditions, higher expense was incurred for the three months ended December 24, 2022 due to the expense recognized in the first quarter of fiscal year 2023 for the issuance of restricted stock to our employees following the Business Combination. Additionally, we experienced a decrease in the expense related to contractors as a result of a combination of hiring full time employees and outsourcing certain business activities to third parties. These decreases were partially offset by an increase to payroll related costs as we continue to grow our software and hardware engineering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3" w:name="page34"/>
    <w:bookmarkEnd w:id="33"/>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6"/>
          <w:szCs w:val="16"/>
          <w:color w:val="auto"/>
        </w:rPr>
        <w:t>organizations to support the development of key projects such as next generation autonomous electric vehicle robots, and also to support the continued expansion of our artificial intelligence and analytics capabilities.</w:t>
      </w:r>
    </w:p>
    <w:p>
      <w:pPr>
        <w:spacing w:after="0" w:line="1" w:lineRule="exact"/>
        <w:rPr>
          <w:sz w:val="20"/>
          <w:szCs w:val="20"/>
          <w:color w:val="auto"/>
        </w:rPr>
      </w:pPr>
    </w:p>
    <w:p>
      <w:pPr>
        <w:ind w:right="60" w:firstLine="289"/>
        <w:spacing w:after="0" w:line="284" w:lineRule="auto"/>
        <w:rPr>
          <w:sz w:val="20"/>
          <w:szCs w:val="20"/>
          <w:color w:val="auto"/>
        </w:rPr>
      </w:pPr>
      <w:r>
        <w:rPr>
          <w:rFonts w:ascii="Times New Roman" w:cs="Times New Roman" w:eastAsia="Times New Roman" w:hAnsi="Times New Roman"/>
          <w:sz w:val="16"/>
          <w:szCs w:val="16"/>
          <w:color w:val="auto"/>
        </w:rPr>
        <w:t>The increase in prototype-related costs, allocated overhead expenses, and other during the three months ended December 30, 2023 as compared to the three months ended December 24, 2022 is primarily due to an increase in prototype expenses as we implement efforts to expand on our current product offerings.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General, and Administrative Expenses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6"/>
                <w:szCs w:val="16"/>
                <w:color w:val="auto"/>
              </w:rPr>
            </w:pPr>
          </w:p>
        </w:tc>
      </w:tr>
      <w:tr>
        <w:trPr>
          <w:trHeight w:val="28"/>
        </w:trPr>
        <w:tc>
          <w:tcPr>
            <w:tcW w:w="4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3"/>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6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24, 2022</w:t>
            </w:r>
          </w:p>
        </w:tc>
        <w:tc>
          <w:tcPr>
            <w:tcW w:w="280" w:type="dxa"/>
            <w:vAlign w:val="bottom"/>
          </w:tcPr>
          <w:p>
            <w:pPr>
              <w:spacing w:after="0"/>
              <w:rPr>
                <w:sz w:val="16"/>
                <w:szCs w:val="16"/>
                <w:color w:val="auto"/>
              </w:rPr>
            </w:pPr>
          </w:p>
        </w:tc>
        <w:tc>
          <w:tcPr>
            <w:tcW w:w="1700" w:type="dxa"/>
            <w:vAlign w:val="bottom"/>
          </w:tcPr>
          <w:p>
            <w:pPr>
              <w:jc w:val="right"/>
              <w:ind w:right="94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
        </w:trPr>
        <w:tc>
          <w:tcPr>
            <w:tcW w:w="4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3"/>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20" w:type="dxa"/>
            <w:vAlign w:val="bottom"/>
            <w:gridSpan w:val="4"/>
          </w:tcPr>
          <w:p>
            <w:pPr>
              <w:jc w:val="right"/>
              <w:ind w:right="1385"/>
              <w:spacing w:after="0"/>
              <w:rPr>
                <w:sz w:val="20"/>
                <w:szCs w:val="20"/>
                <w:color w:val="auto"/>
              </w:rPr>
            </w:pPr>
            <w:r>
              <w:rPr>
                <w:rFonts w:ascii="Times New Roman" w:cs="Times New Roman" w:eastAsia="Times New Roman" w:hAnsi="Times New Roman"/>
                <w:sz w:val="14"/>
                <w:szCs w:val="14"/>
                <w:color w:val="auto"/>
              </w:rPr>
              <w:t>(dollars in thousands)</w:t>
            </w:r>
          </w:p>
        </w:tc>
        <w:tc>
          <w:tcPr>
            <w:tcW w:w="1060" w:type="dxa"/>
            <w:vAlign w:val="bottom"/>
          </w:tcPr>
          <w:p>
            <w:pPr>
              <w:spacing w:after="0"/>
              <w:rPr>
                <w:sz w:val="16"/>
                <w:szCs w:val="16"/>
                <w:color w:val="auto"/>
              </w:rPr>
            </w:pPr>
          </w:p>
        </w:tc>
      </w:tr>
      <w:tr>
        <w:trPr>
          <w:trHeight w:val="28"/>
        </w:trPr>
        <w:tc>
          <w:tcPr>
            <w:tcW w:w="4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47,012</w:t>
            </w:r>
          </w:p>
        </w:tc>
        <w:tc>
          <w:tcPr>
            <w:tcW w:w="920" w:type="dxa"/>
            <w:vAlign w:val="bottom"/>
            <w:tcBorders>
              <w:bottom w:val="single" w:sz="8" w:color="CCEEFF"/>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54,023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rPr>
              <w:t>(7,011)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152" w:lineRule="exact"/>
        <w:rPr>
          <w:sz w:val="20"/>
          <w:szCs w:val="20"/>
          <w:color w:val="auto"/>
        </w:rPr>
      </w:pPr>
    </w:p>
    <w:p>
      <w:pPr>
        <w:ind w:right="140" w:firstLine="289"/>
        <w:spacing w:after="0" w:line="284" w:lineRule="auto"/>
        <w:rPr>
          <w:sz w:val="20"/>
          <w:szCs w:val="20"/>
          <w:color w:val="auto"/>
        </w:rPr>
      </w:pPr>
      <w:r>
        <w:rPr>
          <w:rFonts w:ascii="Times New Roman" w:cs="Times New Roman" w:eastAsia="Times New Roman" w:hAnsi="Times New Roman"/>
          <w:sz w:val="16"/>
          <w:szCs w:val="16"/>
          <w:color w:val="auto"/>
        </w:rPr>
        <w:t>The decrease in selling, general, and administrative expenses for the three months ended December 30, 2023 as compared to the three months ended December 24, 2022 is due to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8"/>
        </w:trPr>
        <w:tc>
          <w:tcPr>
            <w:tcW w:w="9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3"/>
        </w:trPr>
        <w:tc>
          <w:tcPr>
            <w:tcW w:w="9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03"/>
              <w:spacing w:after="0"/>
              <w:rPr>
                <w:sz w:val="20"/>
                <w:szCs w:val="20"/>
                <w:color w:val="auto"/>
              </w:rPr>
            </w:pPr>
            <w:r>
              <w:rPr>
                <w:rFonts w:ascii="Times New Roman" w:cs="Times New Roman" w:eastAsia="Times New Roman" w:hAnsi="Times New Roman"/>
                <w:sz w:val="14"/>
                <w:szCs w:val="14"/>
                <w:color w:val="auto"/>
              </w:rPr>
              <w:t>(in thousands)</w:t>
            </w:r>
          </w:p>
        </w:tc>
      </w:tr>
      <w:tr>
        <w:trPr>
          <w:trHeight w:val="28"/>
        </w:trPr>
        <w:tc>
          <w:tcPr>
            <w:tcW w:w="9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Employee-related costs</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(13,323)</w:t>
            </w:r>
          </w:p>
        </w:tc>
      </w:tr>
      <w:tr>
        <w:trPr>
          <w:trHeight w:val="217"/>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Allocated overhead expenses and other</w:t>
            </w:r>
          </w:p>
        </w:tc>
        <w:tc>
          <w:tcPr>
            <w:tcW w:w="22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6,312</w:t>
            </w:r>
          </w:p>
        </w:tc>
      </w:tr>
      <w:tr>
        <w:trPr>
          <w:trHeight w:val="36"/>
        </w:trPr>
        <w:tc>
          <w:tcPr>
            <w:tcW w:w="97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70"/>
        </w:trPr>
        <w:tc>
          <w:tcPr>
            <w:tcW w:w="97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(7,011)</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right="40" w:firstLine="289"/>
        <w:spacing w:after="0" w:line="259" w:lineRule="auto"/>
        <w:rPr>
          <w:sz w:val="20"/>
          <w:szCs w:val="20"/>
          <w:color w:val="auto"/>
        </w:rPr>
      </w:pPr>
      <w:r>
        <w:rPr>
          <w:rFonts w:ascii="Times New Roman" w:cs="Times New Roman" w:eastAsia="Times New Roman" w:hAnsi="Times New Roman"/>
          <w:sz w:val="16"/>
          <w:szCs w:val="16"/>
          <w:color w:val="auto"/>
        </w:rPr>
        <w:t>Employee-related costs decreased primarily as a result of a decrease in stock-based compensation expense and expense incurred for contractors. As we apply the graded-vesting method of expense recognition to all stock-based compensation awards with service-only conditions, higher expense was incurred for the three months ended December 24, 2022 due to the expense recognized in the first quarter of fiscal year 2023 for the issuance of restricted stock to our employees following the Business Combination. Additionally, we experienced a decrease in the expense related to contractors as a result of a combination of hiring full time employees and outsourcing certain business activities to third parties. These decreases were partially offset by an increase to travel-related expenses incurred by our employees as our business continues to grow.</w:t>
      </w:r>
    </w:p>
    <w:p>
      <w:pPr>
        <w:spacing w:after="0" w:line="19" w:lineRule="exact"/>
        <w:rPr>
          <w:sz w:val="20"/>
          <w:szCs w:val="20"/>
          <w:color w:val="auto"/>
        </w:rPr>
      </w:pPr>
    </w:p>
    <w:p>
      <w:pPr>
        <w:ind w:right="660" w:firstLine="289"/>
        <w:spacing w:after="0" w:line="284" w:lineRule="auto"/>
        <w:rPr>
          <w:sz w:val="20"/>
          <w:szCs w:val="20"/>
          <w:color w:val="auto"/>
        </w:rPr>
      </w:pPr>
      <w:r>
        <w:rPr>
          <w:rFonts w:ascii="Times New Roman" w:cs="Times New Roman" w:eastAsia="Times New Roman" w:hAnsi="Times New Roman"/>
          <w:sz w:val="16"/>
          <w:szCs w:val="16"/>
          <w:color w:val="auto"/>
        </w:rPr>
        <w:t>Allocated overhead and other expenses increased primarily due to an increase in information technology related costs as well as audit, tax, and legal expenses as compared to the prior year as our employee base and infrastructure continue to grow.</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80" w:type="dxa"/>
            <w:vAlign w:val="bottom"/>
          </w:tcPr>
          <w:p>
            <w:pPr>
              <w:spacing w:after="0"/>
              <w:rPr>
                <w:sz w:val="16"/>
                <w:szCs w:val="16"/>
                <w:color w:val="auto"/>
              </w:rPr>
            </w:pPr>
          </w:p>
        </w:tc>
        <w:tc>
          <w:tcPr>
            <w:tcW w:w="100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8"/>
        </w:trPr>
        <w:tc>
          <w:tcPr>
            <w:tcW w:w="4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3"/>
        </w:trPr>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8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24, 2022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spacing w:after="0"/>
              <w:rPr>
                <w:sz w:val="16"/>
                <w:szCs w:val="16"/>
                <w:color w:val="auto"/>
              </w:rPr>
            </w:pPr>
          </w:p>
        </w:tc>
        <w:tc>
          <w:tcPr>
            <w:tcW w:w="108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
        </w:trPr>
        <w:tc>
          <w:tcPr>
            <w:tcW w:w="4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3"/>
        </w:trPr>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3"/>
          </w:tcPr>
          <w:p>
            <w:pPr>
              <w:jc w:val="right"/>
              <w:ind w:right="384"/>
              <w:spacing w:after="0"/>
              <w:rPr>
                <w:sz w:val="20"/>
                <w:szCs w:val="20"/>
                <w:color w:val="auto"/>
              </w:rPr>
            </w:pPr>
            <w:r>
              <w:rPr>
                <w:rFonts w:ascii="Times New Roman" w:cs="Times New Roman" w:eastAsia="Times New Roman" w:hAnsi="Times New Roman"/>
                <w:sz w:val="14"/>
                <w:szCs w:val="14"/>
                <w:color w:val="auto"/>
              </w:rPr>
              <w:t>(dollars in thousands)</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8"/>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6,199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1,834</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544"/>
              <w:spacing w:after="0"/>
              <w:rPr>
                <w:sz w:val="20"/>
                <w:szCs w:val="20"/>
                <w:color w:val="auto"/>
              </w:rPr>
            </w:pPr>
            <w:r>
              <w:rPr>
                <w:rFonts w:ascii="Times New Roman" w:cs="Times New Roman" w:eastAsia="Times New Roman" w:hAnsi="Times New Roman"/>
                <w:sz w:val="16"/>
                <w:szCs w:val="16"/>
                <w:color w:val="auto"/>
                <w:w w:val="99"/>
              </w:rPr>
              <w:t>4,365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238 %</w:t>
            </w: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152" w:lineRule="exact"/>
        <w:rPr>
          <w:sz w:val="20"/>
          <w:szCs w:val="20"/>
          <w:color w:val="auto"/>
        </w:rPr>
      </w:pPr>
    </w:p>
    <w:p>
      <w:pPr>
        <w:ind w:right="240" w:firstLine="289"/>
        <w:spacing w:after="0" w:line="284" w:lineRule="auto"/>
        <w:rPr>
          <w:sz w:val="20"/>
          <w:szCs w:val="20"/>
          <w:color w:val="auto"/>
        </w:rPr>
      </w:pPr>
      <w:r>
        <w:rPr>
          <w:rFonts w:ascii="Times New Roman" w:cs="Times New Roman" w:eastAsia="Times New Roman" w:hAnsi="Times New Roman"/>
          <w:sz w:val="16"/>
          <w:szCs w:val="16"/>
          <w:color w:val="auto"/>
        </w:rPr>
        <w:t>The increase in other income, net for the three months ended December 30, 2023 as compared to the three months ended December 24, 2022 was due to higher interest earned on invested cash balances and marketable securities as a result of increased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4" w:name="page35"/>
    <w:bookmarkEnd w:id="34"/>
    <w:p>
      <w:pPr>
        <w:ind w:left="284"/>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100" w:type="dxa"/>
            <w:vAlign w:val="bottom"/>
          </w:tcPr>
          <w:p>
            <w:pPr>
              <w:spacing w:after="0"/>
              <w:rPr>
                <w:sz w:val="16"/>
                <w:szCs w:val="16"/>
                <w:color w:val="auto"/>
              </w:rPr>
            </w:pP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r>
      <w:tr>
        <w:trPr>
          <w:trHeight w:val="28"/>
        </w:trPr>
        <w:tc>
          <w:tcPr>
            <w:tcW w:w="4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24, 2022</w:t>
            </w:r>
          </w:p>
        </w:tc>
        <w:tc>
          <w:tcPr>
            <w:tcW w:w="1100" w:type="dxa"/>
            <w:vAlign w:val="bottom"/>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62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
        </w:trPr>
        <w:tc>
          <w:tcPr>
            <w:tcW w:w="4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65"/>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29"/>
        </w:trPr>
        <w:tc>
          <w:tcPr>
            <w:tcW w:w="4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gridSpan w:val="3"/>
          </w:tcPr>
          <w:p>
            <w:pPr>
              <w:jc w:val="right"/>
              <w:ind w:right="525"/>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8"/>
        </w:trPr>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2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(79)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140" w:type="dxa"/>
            <w:vAlign w:val="bottom"/>
          </w:tcPr>
          <w:p>
            <w:pPr>
              <w:spacing w:after="0"/>
              <w:rPr>
                <w:sz w:val="18"/>
                <w:szCs w:val="18"/>
                <w:color w:val="auto"/>
              </w:rPr>
            </w:pPr>
          </w:p>
        </w:tc>
        <w:tc>
          <w:tcPr>
            <w:tcW w:w="15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15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152" w:lineRule="exact"/>
        <w:rPr>
          <w:sz w:val="20"/>
          <w:szCs w:val="20"/>
          <w:color w:val="auto"/>
        </w:rPr>
      </w:pPr>
    </w:p>
    <w:p>
      <w:pPr>
        <w:ind w:left="4" w:right="480" w:firstLine="289"/>
        <w:spacing w:after="0" w:line="284" w:lineRule="auto"/>
        <w:rPr>
          <w:sz w:val="20"/>
          <w:szCs w:val="20"/>
          <w:color w:val="auto"/>
        </w:rPr>
      </w:pPr>
      <w:r>
        <w:rPr>
          <w:rFonts w:ascii="Times New Roman" w:cs="Times New Roman" w:eastAsia="Times New Roman" w:hAnsi="Times New Roman"/>
          <w:sz w:val="16"/>
          <w:szCs w:val="16"/>
          <w:color w:val="auto"/>
        </w:rPr>
        <w:t>The decrease in income tax expense for the three months ended December 30, 2023 as compared to the three months ended December 24, 2022 is attributable to an increase in our international tax expense, offset by a decrease in the expense related to our state income taxes.</w:t>
      </w:r>
    </w:p>
    <w:p>
      <w:pPr>
        <w:spacing w:after="0" w:line="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07" w:lineRule="exact"/>
        <w:rPr>
          <w:sz w:val="20"/>
          <w:szCs w:val="20"/>
          <w:color w:val="auto"/>
        </w:rPr>
      </w:pPr>
    </w:p>
    <w:p>
      <w:pPr>
        <w:ind w:left="4" w:right="120" w:firstLine="289"/>
        <w:spacing w:after="0" w:line="259" w:lineRule="auto"/>
        <w:rPr>
          <w:sz w:val="20"/>
          <w:szCs w:val="20"/>
          <w:color w:val="auto"/>
        </w:rPr>
      </w:pPr>
      <w:r>
        <w:rPr>
          <w:rFonts w:ascii="Times New Roman" w:cs="Times New Roman" w:eastAsia="Times New Roman" w:hAnsi="Times New Roman"/>
          <w:sz w:val="16"/>
          <w:szCs w:val="16"/>
          <w:color w:val="auto"/>
        </w:rPr>
        <w:t>In addition to providing financial measurements based on generally accepted accounting principles in the United States of America, or GAAP, we provide additional financial metrics that are not prepared in accordance with GAAP, or non-GAAP financial measures. We use these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Adjusted EBITDA, Adjusted gross profit, and Adjusted gross profit margin, as discussed below.</w:t>
      </w:r>
    </w:p>
    <w:p>
      <w:pPr>
        <w:spacing w:after="0" w:line="19" w:lineRule="exact"/>
        <w:rPr>
          <w:sz w:val="20"/>
          <w:szCs w:val="20"/>
          <w:color w:val="auto"/>
        </w:rPr>
      </w:pPr>
    </w:p>
    <w:p>
      <w:pPr>
        <w:ind w:left="4" w:right="280" w:firstLine="289"/>
        <w:spacing w:after="0" w:line="262" w:lineRule="auto"/>
        <w:rPr>
          <w:sz w:val="20"/>
          <w:szCs w:val="20"/>
          <w:color w:val="auto"/>
        </w:rPr>
      </w:pPr>
      <w:r>
        <w:rPr>
          <w:rFonts w:ascii="Times New Roman" w:cs="Times New Roman" w:eastAsia="Times New Roman" w:hAnsi="Times New Roman"/>
          <w:sz w:val="16"/>
          <w:szCs w:val="16"/>
          <w:color w:val="auto"/>
        </w:rPr>
        <w:t>We believe that these non-GAAP financial measures reflect our ongoing business in a manner that allows for meaningful comparisons and analysis of trends in the business, as it facilitates comparing financial results across accounting periods and to those of peer companies. We also believe that these non-GAAP financial measures enable investors to evaluate our operating results and future prospects in the same manner as we do. These non-GAAP financial measures may exclude expenses and gains that may be unusual in nature, infrequent, or not reflective of our ongoing operating results.</w:t>
      </w:r>
    </w:p>
    <w:p>
      <w:pPr>
        <w:spacing w:after="0" w:line="16" w:lineRule="exact"/>
        <w:rPr>
          <w:sz w:val="20"/>
          <w:szCs w:val="20"/>
          <w:color w:val="auto"/>
        </w:rPr>
      </w:pPr>
    </w:p>
    <w:p>
      <w:pPr>
        <w:ind w:left="4" w:right="240" w:firstLine="289"/>
        <w:spacing w:after="0" w:line="282" w:lineRule="auto"/>
        <w:rPr>
          <w:sz w:val="20"/>
          <w:szCs w:val="20"/>
          <w:color w:val="auto"/>
        </w:rPr>
      </w:pPr>
      <w:r>
        <w:rPr>
          <w:rFonts w:ascii="Times New Roman" w:cs="Times New Roman" w:eastAsia="Times New Roman" w:hAnsi="Times New Roman"/>
          <w:sz w:val="16"/>
          <w:szCs w:val="16"/>
          <w:color w:val="auto"/>
        </w:rPr>
        <w:t>The non-GAAP financial measures do not replace the presentation of our GAAP financial measures and should only be used as a supplement to, not as a substitute for, our financial results presented in accordance with GAAP.</w:t>
      </w:r>
    </w:p>
    <w:p>
      <w:pPr>
        <w:spacing w:after="0" w:line="1" w:lineRule="exact"/>
        <w:rPr>
          <w:sz w:val="20"/>
          <w:szCs w:val="20"/>
          <w:color w:val="auto"/>
        </w:rPr>
      </w:pPr>
    </w:p>
    <w:p>
      <w:pPr>
        <w:ind w:left="4" w:right="120" w:firstLine="289"/>
        <w:spacing w:after="0" w:line="262" w:lineRule="auto"/>
        <w:rPr>
          <w:sz w:val="20"/>
          <w:szCs w:val="20"/>
          <w:color w:val="auto"/>
        </w:rPr>
      </w:pPr>
      <w:r>
        <w:rPr>
          <w:rFonts w:ascii="Times New Roman" w:cs="Times New Roman" w:eastAsia="Times New Roman" w:hAnsi="Times New Roman"/>
          <w:sz w:val="16"/>
          <w:szCs w:val="16"/>
          <w:color w:val="auto"/>
        </w:rPr>
        <w:t>We consider Adjusted EBITDA to be an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stock-based compensation; CEO transition charges; Joint venture formation fees; and other infrequent items that may arise from time to time.</w:t>
      </w:r>
    </w:p>
    <w:p>
      <w:pPr>
        <w:spacing w:after="0" w:line="1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non-GAAP adjustments, and our basis for excluding them from our non-GAAP financial measures, are outlined below:</w:t>
      </w:r>
    </w:p>
    <w:p>
      <w:pPr>
        <w:spacing w:after="0" w:line="55" w:lineRule="exact"/>
        <w:rPr>
          <w:sz w:val="20"/>
          <w:szCs w:val="20"/>
          <w:color w:val="auto"/>
        </w:rPr>
      </w:pPr>
    </w:p>
    <w:p>
      <w:pPr>
        <w:ind w:left="284" w:right="20" w:hanging="284"/>
        <w:spacing w:after="0" w:line="260" w:lineRule="auto"/>
        <w:tabs>
          <w:tab w:leader="none" w:pos="27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Stock-based compensation </w:t>
      </w:r>
      <w:r>
        <w:rPr>
          <w:rFonts w:ascii="Times New Roman" w:cs="Times New Roman" w:eastAsia="Times New Roman" w:hAnsi="Times New Roman"/>
          <w:sz w:val="16"/>
          <w:szCs w:val="16"/>
          <w:color w:val="auto"/>
        </w:rPr>
        <w:t>– Although stock-based compensation is an important aspect of the compensation paid to our employees, the grant date fair value varies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based on the derived stock 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from our non-GAAP financial measures in order to highlight the performance of our business and to be consistent with the way many investors evaluate our performance and compare our operating results to peer companies.</w:t>
      </w:r>
    </w:p>
    <w:p>
      <w:pPr>
        <w:spacing w:after="0" w:line="15" w:lineRule="exact"/>
        <w:rPr>
          <w:rFonts w:ascii="Times New Roman" w:cs="Times New Roman" w:eastAsia="Times New Roman" w:hAnsi="Times New Roman"/>
          <w:sz w:val="16"/>
          <w:szCs w:val="16"/>
          <w:color w:val="auto"/>
        </w:rPr>
      </w:pPr>
    </w:p>
    <w:p>
      <w:pPr>
        <w:ind w:left="284" w:right="400" w:hanging="284"/>
        <w:spacing w:after="0" w:line="269" w:lineRule="auto"/>
        <w:tabs>
          <w:tab w:leader="none" w:pos="27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CEO transition charges </w:t>
      </w:r>
      <w:r>
        <w:rPr>
          <w:rFonts w:ascii="Times New Roman" w:cs="Times New Roman" w:eastAsia="Times New Roman" w:hAnsi="Times New Roman"/>
          <w:sz w:val="16"/>
          <w:szCs w:val="16"/>
          <w:color w:val="auto"/>
        </w:rPr>
        <w:t>– CEO transition charges represent the charges incurred associated with the separation agreement we entered into with Michael Loparco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November 2022. We exclude these CEO transition charges from our non-GAAP financial measures to provide a useful comparison of our operating results to prior periods and to our peer companies because such amounts are not representative of our normal operating activities.</w:t>
      </w:r>
    </w:p>
    <w:p>
      <w:pPr>
        <w:spacing w:after="0" w:line="7" w:lineRule="exact"/>
        <w:rPr>
          <w:rFonts w:ascii="Times New Roman" w:cs="Times New Roman" w:eastAsia="Times New Roman" w:hAnsi="Times New Roman"/>
          <w:sz w:val="16"/>
          <w:szCs w:val="16"/>
          <w:color w:val="auto"/>
        </w:rPr>
      </w:pPr>
    </w:p>
    <w:p>
      <w:pPr>
        <w:ind w:left="284" w:right="40" w:hanging="284"/>
        <w:spacing w:after="0" w:line="263" w:lineRule="auto"/>
        <w:tabs>
          <w:tab w:leader="none" w:pos="279"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Joint venture formation fees </w:t>
      </w:r>
      <w:r>
        <w:rPr>
          <w:rFonts w:ascii="Times New Roman" w:cs="Times New Roman" w:eastAsia="Times New Roman" w:hAnsi="Times New Roman"/>
          <w:sz w:val="16"/>
          <w:szCs w:val="16"/>
          <w:color w:val="auto"/>
        </w:rPr>
        <w:t>– Joint venture formation fees represent the charges incurred associated with the formation of GreenBox, which was established on July 21,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2023. It primarily includes investment banker fees, legal fees, transaction fees, advisory fees, and certain other professional fees. We exclude joint venture formation fees from our non-GAAP financial measures to provide a useful comparison of our operating results to prior periods and peer companies because such amounts vary significantly based on the magnitude of the joint venture and do not reflect our core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7232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4"/>
          </w:cols>
          <w:pgMar w:left="316" w:top="171" w:right="319" w:bottom="1440" w:gutter="0" w:footer="0" w:header="0"/>
        </w:sectPr>
      </w:pPr>
    </w:p>
    <w:bookmarkStart w:id="35" w:name="page36"/>
    <w:bookmarkEnd w:id="35"/>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reconciles GAAP net loss to Adjusted EBITDA for the three months ended December 30, 2023 and December 24, 2022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8"/>
        </w:trPr>
        <w:tc>
          <w:tcPr>
            <w:tcW w:w="7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3"/>
        </w:trPr>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20" w:type="dxa"/>
            <w:vAlign w:val="bottom"/>
          </w:tcPr>
          <w:p>
            <w:pPr>
              <w:spacing w:after="0"/>
              <w:rPr>
                <w:sz w:val="16"/>
                <w:szCs w:val="16"/>
                <w:color w:val="auto"/>
              </w:rPr>
            </w:pPr>
          </w:p>
        </w:tc>
        <w:tc>
          <w:tcPr>
            <w:tcW w:w="158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24, 2022</w:t>
            </w:r>
          </w:p>
        </w:tc>
      </w:tr>
      <w:tr>
        <w:trPr>
          <w:trHeight w:val="28"/>
        </w:trPr>
        <w:tc>
          <w:tcPr>
            <w:tcW w:w="7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3"/>
        </w:trPr>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8"/>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(67,986)</w:t>
            </w:r>
          </w:p>
        </w:tc>
      </w:tr>
      <w:tr>
        <w:trPr>
          <w:trHeight w:val="217"/>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r>
      <w:tr>
        <w:trPr>
          <w:trHeight w:val="36"/>
        </w:trPr>
        <w:tc>
          <w:tcPr>
            <w:tcW w:w="7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3"/>
        </w:trPr>
        <w:tc>
          <w:tcPr>
            <w:tcW w:w="7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251</w:t>
            </w:r>
          </w:p>
        </w:tc>
      </w:tr>
      <w:tr>
        <w:trPr>
          <w:trHeight w:val="217"/>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1,695</w:t>
            </w:r>
          </w:p>
        </w:tc>
      </w:tr>
      <w:tr>
        <w:trPr>
          <w:trHeight w:val="36"/>
        </w:trPr>
        <w:tc>
          <w:tcPr>
            <w:tcW w:w="7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3"/>
        </w:trPr>
        <w:tc>
          <w:tcPr>
            <w:tcW w:w="7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49,540</w:t>
            </w:r>
          </w:p>
        </w:tc>
      </w:tr>
      <w:tr>
        <w:trPr>
          <w:trHeight w:val="217"/>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CEO transition charges</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2,026</w:t>
            </w:r>
          </w:p>
        </w:tc>
      </w:tr>
      <w:tr>
        <w:trPr>
          <w:trHeight w:val="36"/>
        </w:trPr>
        <w:tc>
          <w:tcPr>
            <w:tcW w:w="7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3"/>
        </w:trPr>
        <w:tc>
          <w:tcPr>
            <w:tcW w:w="7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Joint venture formation fees</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8,067</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(16,307)</w:t>
            </w:r>
          </w:p>
        </w:tc>
      </w:tr>
      <w:tr>
        <w:trPr>
          <w:trHeight w:val="22"/>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presents the effects of the Restatement on the Adjusted EBITDA non-GAAP financial measure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40" w:type="dxa"/>
            <w:vAlign w:val="bottom"/>
            <w:gridSpan w:val="6"/>
          </w:tcPr>
          <w:p>
            <w:pPr>
              <w:jc w:val="center"/>
              <w:ind w:left="923"/>
              <w:spacing w:after="0"/>
              <w:rPr>
                <w:sz w:val="20"/>
                <w:szCs w:val="20"/>
                <w:color w:val="auto"/>
              </w:rPr>
            </w:pPr>
            <w:r>
              <w:rPr>
                <w:rFonts w:ascii="Times New Roman" w:cs="Times New Roman" w:eastAsia="Times New Roman" w:hAnsi="Times New Roman"/>
                <w:sz w:val="14"/>
                <w:szCs w:val="14"/>
                <w:b w:val="1"/>
                <w:bCs w:val="1"/>
                <w:color w:val="auto"/>
              </w:rPr>
              <w:t>Three Months Ended December 30, 2023</w:t>
            </w:r>
          </w:p>
        </w:tc>
        <w:tc>
          <w:tcPr>
            <w:tcW w:w="1280" w:type="dxa"/>
            <w:vAlign w:val="bottom"/>
          </w:tcPr>
          <w:p>
            <w:pPr>
              <w:spacing w:after="0"/>
              <w:rPr>
                <w:sz w:val="16"/>
                <w:szCs w:val="16"/>
                <w:color w:val="auto"/>
              </w:rPr>
            </w:pPr>
          </w:p>
        </w:tc>
      </w:tr>
      <w:tr>
        <w:trPr>
          <w:trHeight w:val="28"/>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3"/>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00" w:type="dxa"/>
            <w:vAlign w:val="bottom"/>
          </w:tcPr>
          <w:p>
            <w:pPr>
              <w:spacing w:after="0"/>
              <w:rPr>
                <w:sz w:val="16"/>
                <w:szCs w:val="16"/>
                <w:color w:val="auto"/>
              </w:rPr>
            </w:pPr>
          </w:p>
        </w:tc>
        <w:tc>
          <w:tcPr>
            <w:tcW w:w="128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8"/>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5"/>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(19,072)</w:t>
            </w: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Pr>
          <w:p>
            <w:pPr>
              <w:spacing w:after="0"/>
              <w:rPr>
                <w:sz w:val="18"/>
                <w:szCs w:val="18"/>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172</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14,117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8,067</w:t>
            </w:r>
          </w:p>
        </w:tc>
      </w:tr>
      <w:tr>
        <w:trPr>
          <w:trHeight w:val="36"/>
        </w:trPr>
        <w:tc>
          <w:tcPr>
            <w:tcW w:w="60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04" w:lineRule="exact"/>
        <w:rPr>
          <w:sz w:val="20"/>
          <w:szCs w:val="20"/>
          <w:color w:val="auto"/>
        </w:rPr>
      </w:pPr>
    </w:p>
    <w:p>
      <w:pPr>
        <w:ind w:right="60" w:firstLine="289"/>
        <w:spacing w:after="0" w:line="259" w:lineRule="auto"/>
        <w:rPr>
          <w:sz w:val="20"/>
          <w:szCs w:val="20"/>
          <w:color w:val="auto"/>
        </w:rPr>
      </w:pPr>
      <w:r>
        <w:rPr>
          <w:rFonts w:ascii="Times New Roman" w:cs="Times New Roman" w:eastAsia="Times New Roman" w:hAnsi="Times New Roman"/>
          <w:sz w:val="16"/>
          <w:szCs w:val="16"/>
          <w:color w:val="auto"/>
        </w:rPr>
        <w:t>We consider Adjusted gross profit and Adjusted gross profit margin to be important indicators of profitability which we use in our financial and operational decision-making and evaluation of our overall operating performance. We define Adjusted gross profit, a non-GAAP financial measure, as GAAP gross profit excluding the following items: depreciation and stock-based compensation expense. We define Adjusted gross profit margin, a non-GAAP financial measure, as non-GAAP Adjusted gross profit divided by total revenue. The following table reconciles GAAP gross profit to Adjusted gross profit and gross profit margin to Adjusted gross profit margin during the periods presented (dollars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8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8"/>
        </w:trPr>
        <w:tc>
          <w:tcPr>
            <w:tcW w:w="7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3"/>
        </w:trPr>
        <w:tc>
          <w:tcPr>
            <w:tcW w:w="7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00" w:type="dxa"/>
            <w:vAlign w:val="bottom"/>
          </w:tcPr>
          <w:p>
            <w:pPr>
              <w:spacing w:after="0"/>
              <w:rPr>
                <w:sz w:val="16"/>
                <w:szCs w:val="16"/>
                <w:color w:val="auto"/>
              </w:rPr>
            </w:pPr>
          </w:p>
        </w:tc>
        <w:tc>
          <w:tcPr>
            <w:tcW w:w="16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24, 2022</w:t>
            </w:r>
          </w:p>
        </w:tc>
      </w:tr>
      <w:tr>
        <w:trPr>
          <w:trHeight w:val="28"/>
        </w:trPr>
        <w:tc>
          <w:tcPr>
            <w:tcW w:w="7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3"/>
        </w:trPr>
        <w:tc>
          <w:tcPr>
            <w:tcW w:w="7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8"/>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3"/>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64,057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35,194</w:t>
            </w:r>
          </w:p>
        </w:tc>
      </w:tr>
      <w:tr>
        <w:trPr>
          <w:trHeight w:val="217"/>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tcPr>
          <w:p>
            <w:pPr>
              <w:spacing w:after="0"/>
              <w:rPr>
                <w:sz w:val="18"/>
                <w:szCs w:val="18"/>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186</w:t>
            </w:r>
          </w:p>
        </w:tc>
      </w:tr>
      <w:tr>
        <w:trPr>
          <w:trHeight w:val="36"/>
        </w:trPr>
        <w:tc>
          <w:tcPr>
            <w:tcW w:w="7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3"/>
        </w:trPr>
        <w:tc>
          <w:tcPr>
            <w:tcW w:w="7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3,431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312</w:t>
            </w: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67,581</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35,692</w:t>
            </w:r>
          </w:p>
        </w:tc>
      </w:tr>
      <w:tr>
        <w:trPr>
          <w:trHeight w:val="22"/>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49"/>
        </w:trPr>
        <w:tc>
          <w:tcPr>
            <w:tcW w:w="7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33"/>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17.8 %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17.1 %</w:t>
            </w:r>
          </w:p>
        </w:tc>
      </w:tr>
      <w:tr>
        <w:trPr>
          <w:trHeight w:val="21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profit margin</w:t>
            </w:r>
          </w:p>
        </w:tc>
        <w:tc>
          <w:tcPr>
            <w:tcW w:w="200" w:type="dxa"/>
            <w:vAlign w:val="bottom"/>
          </w:tcPr>
          <w:p>
            <w:pPr>
              <w:spacing w:after="0"/>
              <w:rPr>
                <w:sz w:val="18"/>
                <w:szCs w:val="18"/>
                <w:color w:val="auto"/>
              </w:rPr>
            </w:pPr>
          </w:p>
        </w:tc>
        <w:tc>
          <w:tcPr>
            <w:tcW w:w="1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18.8 %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6" w:name="page37"/>
    <w:bookmarkEnd w:id="36"/>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500" w:firstLine="289"/>
        <w:spacing w:after="0" w:line="284" w:lineRule="auto"/>
        <w:rPr>
          <w:sz w:val="20"/>
          <w:szCs w:val="20"/>
          <w:color w:val="auto"/>
        </w:rPr>
      </w:pPr>
      <w:r>
        <w:rPr>
          <w:rFonts w:ascii="Times New Roman" w:cs="Times New Roman" w:eastAsia="Times New Roman" w:hAnsi="Times New Roman"/>
          <w:sz w:val="16"/>
          <w:szCs w:val="16"/>
          <w:color w:val="auto"/>
        </w:rPr>
        <w:t>The following table presents the effects of the Restatement on the Adjusted gross profit and Adjusted gross profit margin non-GAAP financial measures (dollars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20" w:type="dxa"/>
            <w:vAlign w:val="bottom"/>
            <w:gridSpan w:val="6"/>
          </w:tcPr>
          <w:p>
            <w:pPr>
              <w:jc w:val="center"/>
              <w:ind w:left="982"/>
              <w:spacing w:after="0"/>
              <w:rPr>
                <w:sz w:val="20"/>
                <w:szCs w:val="20"/>
                <w:color w:val="auto"/>
              </w:rPr>
            </w:pPr>
            <w:r>
              <w:rPr>
                <w:rFonts w:ascii="Times New Roman" w:cs="Times New Roman" w:eastAsia="Times New Roman" w:hAnsi="Times New Roman"/>
                <w:sz w:val="14"/>
                <w:szCs w:val="14"/>
                <w:b w:val="1"/>
                <w:bCs w:val="1"/>
                <w:color w:val="auto"/>
              </w:rPr>
              <w:t>Three Months Ended December 30, 2023</w:t>
            </w:r>
          </w:p>
        </w:tc>
        <w:tc>
          <w:tcPr>
            <w:tcW w:w="1360" w:type="dxa"/>
            <w:vAlign w:val="bottom"/>
          </w:tcPr>
          <w:p>
            <w:pPr>
              <w:spacing w:after="0"/>
              <w:rPr>
                <w:sz w:val="16"/>
                <w:szCs w:val="16"/>
                <w:color w:val="auto"/>
              </w:rPr>
            </w:pPr>
          </w:p>
        </w:tc>
      </w:tr>
      <w:tr>
        <w:trPr>
          <w:trHeight w:val="28"/>
        </w:trPr>
        <w:tc>
          <w:tcPr>
            <w:tcW w:w="5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3"/>
        </w:trPr>
        <w:tc>
          <w:tcPr>
            <w:tcW w:w="5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300" w:type="dxa"/>
            <w:vAlign w:val="bottom"/>
          </w:tcPr>
          <w:p>
            <w:pPr>
              <w:spacing w:after="0"/>
              <w:rPr>
                <w:sz w:val="16"/>
                <w:szCs w:val="16"/>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00" w:type="dxa"/>
            <w:vAlign w:val="bottom"/>
          </w:tcPr>
          <w:p>
            <w:pPr>
              <w:spacing w:after="0"/>
              <w:rPr>
                <w:sz w:val="16"/>
                <w:szCs w:val="16"/>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8"/>
        </w:trPr>
        <w:tc>
          <w:tcPr>
            <w:tcW w:w="5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5"/>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70,107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(6,050)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64,057</w:t>
            </w:r>
          </w:p>
        </w:tc>
      </w:tr>
      <w:tr>
        <w:trPr>
          <w:trHeight w:val="21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73,631</w:t>
            </w:r>
          </w:p>
        </w:tc>
        <w:tc>
          <w:tcPr>
            <w:tcW w:w="8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(6,050)</w:t>
            </w:r>
          </w:p>
        </w:tc>
        <w:tc>
          <w:tcPr>
            <w:tcW w:w="100" w:type="dxa"/>
            <w:vAlign w:val="bottom"/>
          </w:tcPr>
          <w:p>
            <w:pPr>
              <w:spacing w:after="0"/>
              <w:rPr>
                <w:sz w:val="18"/>
                <w:szCs w:val="18"/>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67,581</w:t>
            </w:r>
          </w:p>
        </w:tc>
      </w:tr>
      <w:tr>
        <w:trPr>
          <w:trHeight w:val="36"/>
        </w:trPr>
        <w:tc>
          <w:tcPr>
            <w:tcW w:w="5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41"/>
        </w:trPr>
        <w:tc>
          <w:tcPr>
            <w:tcW w:w="5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1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17.8 %</w:t>
            </w:r>
          </w:p>
        </w:tc>
      </w:tr>
      <w:tr>
        <w:trPr>
          <w:trHeight w:val="36"/>
        </w:trPr>
        <w:tc>
          <w:tcPr>
            <w:tcW w:w="5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profit margin</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r>
      <w:tr>
        <w:trPr>
          <w:trHeight w:val="36"/>
        </w:trPr>
        <w:tc>
          <w:tcPr>
            <w:tcW w:w="5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07" w:lineRule="exact"/>
        <w:rPr>
          <w:sz w:val="20"/>
          <w:szCs w:val="20"/>
          <w:color w:val="auto"/>
        </w:rPr>
      </w:pPr>
    </w:p>
    <w:p>
      <w:pPr>
        <w:ind w:right="60" w:firstLine="289"/>
        <w:spacing w:after="0" w:line="282" w:lineRule="auto"/>
        <w:rPr>
          <w:sz w:val="20"/>
          <w:szCs w:val="20"/>
          <w:color w:val="auto"/>
        </w:rPr>
      </w:pPr>
      <w:r>
        <w:rPr>
          <w:rFonts w:ascii="Times New Roman" w:cs="Times New Roman" w:eastAsia="Times New Roman" w:hAnsi="Times New Roman"/>
          <w:sz w:val="16"/>
          <w:szCs w:val="16"/>
          <w:color w:val="auto"/>
        </w:rPr>
        <w:t>As of December 30, 2023, our principal sources of liquidity were cash received upon exercise of warrants, proceeds received from the maturities of marketable securities, and cash received from customers upon the inception and continuation of contracts to install customer Systems.</w:t>
      </w:r>
    </w:p>
    <w:p>
      <w:pPr>
        <w:spacing w:after="0" w:line="1" w:lineRule="exact"/>
        <w:rPr>
          <w:sz w:val="20"/>
          <w:szCs w:val="20"/>
          <w:color w:val="auto"/>
        </w:rPr>
      </w:pPr>
    </w:p>
    <w:p>
      <w:pPr>
        <w:ind w:right="420" w:firstLine="289"/>
        <w:spacing w:after="0" w:line="284" w:lineRule="auto"/>
        <w:rPr>
          <w:sz w:val="20"/>
          <w:szCs w:val="20"/>
          <w:color w:val="auto"/>
        </w:rPr>
      </w:pPr>
      <w:r>
        <w:rPr>
          <w:rFonts w:ascii="Times New Roman" w:cs="Times New Roman" w:eastAsia="Times New Roman" w:hAnsi="Times New Roman"/>
          <w:sz w:val="16"/>
          <w:szCs w:val="16"/>
          <w:color w:val="auto"/>
        </w:rPr>
        <w:t>The following table shows net cash provided by (used in) operating activities, net cash provided by (used in) investing activities, and net cash provided by financing activities for the three months ended December 30, 2023 and December 24, 2022:</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gridSpan w:val="3"/>
          </w:tcPr>
          <w:p>
            <w:pPr>
              <w:jc w:val="right"/>
              <w:ind w:right="114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8"/>
        </w:trPr>
        <w:tc>
          <w:tcPr>
            <w:tcW w:w="7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3"/>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60" w:type="dxa"/>
            <w:vAlign w:val="bottom"/>
          </w:tcPr>
          <w:p>
            <w:pPr>
              <w:spacing w:after="0"/>
              <w:rPr>
                <w:sz w:val="16"/>
                <w:szCs w:val="16"/>
                <w:color w:val="auto"/>
              </w:rPr>
            </w:pPr>
          </w:p>
        </w:tc>
        <w:tc>
          <w:tcPr>
            <w:tcW w:w="16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December 24, 2022</w:t>
            </w:r>
          </w:p>
        </w:tc>
      </w:tr>
      <w:tr>
        <w:trPr>
          <w:trHeight w:val="28"/>
        </w:trPr>
        <w:tc>
          <w:tcPr>
            <w:tcW w:w="7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3"/>
          </w:tcPr>
          <w:p>
            <w:pPr>
              <w:spacing w:after="0"/>
              <w:rPr>
                <w:sz w:val="2"/>
                <w:szCs w:val="2"/>
                <w:color w:val="auto"/>
              </w:rPr>
            </w:pPr>
          </w:p>
        </w:tc>
      </w:tr>
      <w:tr>
        <w:trPr>
          <w:trHeight w:val="193"/>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gridSpan w:val="3"/>
          </w:tcPr>
          <w:p>
            <w:pPr>
              <w:jc w:val="right"/>
              <w:ind w:right="1402"/>
              <w:spacing w:after="0"/>
              <w:rPr>
                <w:sz w:val="20"/>
                <w:szCs w:val="20"/>
                <w:color w:val="auto"/>
              </w:rPr>
            </w:pPr>
            <w:r>
              <w:rPr>
                <w:rFonts w:ascii="Times New Roman" w:cs="Times New Roman" w:eastAsia="Times New Roman" w:hAnsi="Times New Roman"/>
                <w:sz w:val="14"/>
                <w:szCs w:val="14"/>
                <w:color w:val="auto"/>
              </w:rPr>
              <w:t>(in thousands)</w:t>
            </w:r>
          </w:p>
        </w:tc>
      </w:tr>
      <w:tr>
        <w:trPr>
          <w:trHeight w:val="28"/>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3"/>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17"/>
        </w:trPr>
        <w:tc>
          <w:tcPr>
            <w:tcW w:w="7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activities</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(30,150)</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101,052</w:t>
            </w:r>
          </w:p>
        </w:tc>
      </w:tr>
      <w:tr>
        <w:trPr>
          <w:trHeight w:val="36"/>
        </w:trPr>
        <w:tc>
          <w:tcPr>
            <w:tcW w:w="7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33"/>
        </w:trPr>
        <w:tc>
          <w:tcPr>
            <w:tcW w:w="7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Investing activities</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98,690</w:t>
            </w:r>
          </w:p>
        </w:tc>
        <w:tc>
          <w:tcPr>
            <w:tcW w:w="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(103,803)</w:t>
            </w:r>
          </w:p>
        </w:tc>
      </w:tr>
      <w:tr>
        <w:trPr>
          <w:trHeight w:val="217"/>
        </w:trPr>
        <w:tc>
          <w:tcPr>
            <w:tcW w:w="7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Financing activities</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158,646</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59" w:lineRule="exact"/>
        <w:rPr>
          <w:sz w:val="20"/>
          <w:szCs w:val="20"/>
          <w:color w:val="auto"/>
        </w:rPr>
      </w:pPr>
    </w:p>
    <w:p>
      <w:pPr>
        <w:ind w:right="80" w:firstLine="289"/>
        <w:spacing w:after="0" w:line="259" w:lineRule="auto"/>
        <w:rPr>
          <w:sz w:val="20"/>
          <w:szCs w:val="20"/>
          <w:color w:val="auto"/>
        </w:rPr>
      </w:pPr>
      <w:r>
        <w:rPr>
          <w:rFonts w:ascii="Times New Roman" w:cs="Times New Roman" w:eastAsia="Times New Roman" w:hAnsi="Times New Roman"/>
          <w:sz w:val="16"/>
          <w:szCs w:val="16"/>
          <w:color w:val="auto"/>
        </w:rPr>
        <w:t>Our net cash provided by (used in) operating activities consists of net loss adjusted for certain non-cash items, including depreciation and amortization, foreign currency gains and losses, provision for excess and obsolete inventory, and stock-based compensation, as well as changes in operating assets and liabilities. The primary changes in working capital items, such as the changes in accounts receivable and deferred revenue, result from the difference in timing of payments from our customers related to system installations and the associated costs incurred by us to fulfill the system installation performance obligation. This may result in an operating cash flow source or use for the period, depending on the timing of payments received as compared to the fulfillment of the system installation performance obligation.</w:t>
      </w:r>
    </w:p>
    <w:p>
      <w:pPr>
        <w:spacing w:after="0" w:line="19" w:lineRule="exact"/>
        <w:rPr>
          <w:sz w:val="20"/>
          <w:szCs w:val="20"/>
          <w:color w:val="auto"/>
        </w:rPr>
      </w:pPr>
    </w:p>
    <w:p>
      <w:pPr>
        <w:ind w:right="20" w:firstLine="289"/>
        <w:spacing w:after="0" w:line="262" w:lineRule="auto"/>
        <w:rPr>
          <w:sz w:val="20"/>
          <w:szCs w:val="20"/>
          <w:color w:val="auto"/>
        </w:rPr>
      </w:pPr>
      <w:r>
        <w:rPr>
          <w:rFonts w:ascii="Times New Roman" w:cs="Times New Roman" w:eastAsia="Times New Roman" w:hAnsi="Times New Roman"/>
          <w:sz w:val="16"/>
          <w:szCs w:val="16"/>
          <w:color w:val="auto"/>
        </w:rPr>
        <w:t>Net cash used in operating activities was $(30.2) million during the three months ended December 30, 2023. Net cash used in operating activities was primarily due to our net loss of $19.1 million adjusted for non-cash items of $32.8 million, primarily consisting of $3.2 million depreciation and amortization and $29.5 million stock-based compensation, in addition to cash used in operating assets and liabilities of $43.8 million. Cash used in operating assets and liabilities of $43.8 million was primarily driven by net working capital changes, including the timing of cash payments to vendors and cash receipts from customers.</w:t>
      </w:r>
    </w:p>
    <w:p>
      <w:pPr>
        <w:spacing w:after="0" w:line="16" w:lineRule="exact"/>
        <w:rPr>
          <w:sz w:val="20"/>
          <w:szCs w:val="20"/>
          <w:color w:val="auto"/>
        </w:rPr>
      </w:pPr>
    </w:p>
    <w:p>
      <w:pPr>
        <w:ind w:right="120" w:firstLine="289"/>
        <w:spacing w:after="0" w:line="256" w:lineRule="auto"/>
        <w:rPr>
          <w:sz w:val="20"/>
          <w:szCs w:val="20"/>
          <w:color w:val="auto"/>
        </w:rPr>
      </w:pPr>
      <w:r>
        <w:rPr>
          <w:rFonts w:ascii="Times New Roman" w:cs="Times New Roman" w:eastAsia="Times New Roman" w:hAnsi="Times New Roman"/>
          <w:sz w:val="16"/>
          <w:szCs w:val="16"/>
          <w:color w:val="auto"/>
        </w:rPr>
        <w:t>Net cash provided by operating activities was $101.1 million during the three months ended December 24, 2022. Net cash provided by operating activities was primarily due to our net loss of $68.0 million adjusted for non-cash items of $51.6 million, primarily consisting of $2.1 million depreciation and amortization and $49.5 million stock-based compensation, offset by cash provided by operating assets and liabilities of $117.4 million. Cash provided by operating assets and liabilities of $117.4 million was primarily driven by net working capital changes, including timing of cash payments to vendors and cash receipts from customers, an increase in inventory purchases for the three months ended December 24, 2022 as we purchase additional inventory in order to meet our installation timeline for our customers’ upcoming warehouse automation system installations in connection with the Walmart Master Automation Agreement and other customer contracts, as well as an increase in deferred revenue for the three months ended December 24, 2022 resulting from an increase in the number of active system installation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7" w:name="page38"/>
    <w:bookmarkEnd w:id="37"/>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59" w:lineRule="exact"/>
        <w:rPr>
          <w:sz w:val="20"/>
          <w:szCs w:val="20"/>
          <w:color w:val="auto"/>
        </w:rPr>
      </w:pPr>
    </w:p>
    <w:p>
      <w:pPr>
        <w:ind w:right="60" w:firstLine="289"/>
        <w:spacing w:after="0" w:line="282" w:lineRule="auto"/>
        <w:rPr>
          <w:sz w:val="20"/>
          <w:szCs w:val="20"/>
          <w:color w:val="auto"/>
        </w:rPr>
      </w:pPr>
      <w:r>
        <w:rPr>
          <w:rFonts w:ascii="Times New Roman" w:cs="Times New Roman" w:eastAsia="Times New Roman" w:hAnsi="Times New Roman"/>
          <w:sz w:val="16"/>
          <w:szCs w:val="16"/>
          <w:color w:val="auto"/>
        </w:rPr>
        <w:t>Our investing activities have consisted primarily of property and equipment purchases, capitalization of internal use software development costs, purchases of marketable securities, and proceeds from maturities of marketable securities.</w:t>
      </w:r>
    </w:p>
    <w:p>
      <w:pPr>
        <w:spacing w:after="0" w:line="1" w:lineRule="exact"/>
        <w:rPr>
          <w:sz w:val="20"/>
          <w:szCs w:val="20"/>
          <w:color w:val="auto"/>
        </w:rPr>
      </w:pPr>
    </w:p>
    <w:p>
      <w:pPr>
        <w:ind w:right="140" w:firstLine="289"/>
        <w:spacing w:after="0" w:line="282" w:lineRule="auto"/>
        <w:rPr>
          <w:sz w:val="20"/>
          <w:szCs w:val="20"/>
          <w:color w:val="auto"/>
        </w:rPr>
      </w:pPr>
      <w:r>
        <w:rPr>
          <w:rFonts w:ascii="Times New Roman" w:cs="Times New Roman" w:eastAsia="Times New Roman" w:hAnsi="Times New Roman"/>
          <w:sz w:val="16"/>
          <w:szCs w:val="16"/>
          <w:color w:val="auto"/>
        </w:rPr>
        <w:t>Net cash and cash equivalents provided by investing activities during the three months ended December 30, 2023 is primarily driven by $150.0 million in proceeds upon the maturity of certain U.S. Treasury securities, offset by purchases of U.S. Treasury securities of $48.3 million and purchases of property and equipment of $2.2 million.</w:t>
      </w:r>
    </w:p>
    <w:p>
      <w:pPr>
        <w:spacing w:after="0" w:line="1" w:lineRule="exact"/>
        <w:rPr>
          <w:sz w:val="20"/>
          <w:szCs w:val="20"/>
          <w:color w:val="auto"/>
        </w:rPr>
      </w:pPr>
    </w:p>
    <w:p>
      <w:pPr>
        <w:ind w:right="640" w:firstLine="289"/>
        <w:spacing w:after="0" w:line="284" w:lineRule="auto"/>
        <w:rPr>
          <w:sz w:val="20"/>
          <w:szCs w:val="20"/>
          <w:color w:val="auto"/>
        </w:rPr>
      </w:pPr>
      <w:r>
        <w:rPr>
          <w:rFonts w:ascii="Times New Roman" w:cs="Times New Roman" w:eastAsia="Times New Roman" w:hAnsi="Times New Roman"/>
          <w:sz w:val="16"/>
          <w:szCs w:val="16"/>
          <w:color w:val="auto"/>
        </w:rPr>
        <w:t>Net cash and cash equivalents used in investing activities during the three months ended December 24, 2022 consisted of $7.0 million of purchased property and equipment. Additionally, during the three months ended December 24, 2022, we purchased U.S. Treasury securities for $96.8 million.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59" w:lineRule="exact"/>
        <w:rPr>
          <w:sz w:val="20"/>
          <w:szCs w:val="20"/>
          <w:color w:val="auto"/>
        </w:rPr>
      </w:pPr>
    </w:p>
    <w:p>
      <w:pPr>
        <w:ind w:right="360" w:firstLine="289"/>
        <w:spacing w:after="0" w:line="282" w:lineRule="auto"/>
        <w:rPr>
          <w:sz w:val="20"/>
          <w:szCs w:val="20"/>
          <w:color w:val="auto"/>
        </w:rPr>
      </w:pPr>
      <w:r>
        <w:rPr>
          <w:rFonts w:ascii="Times New Roman" w:cs="Times New Roman" w:eastAsia="Times New Roman" w:hAnsi="Times New Roman"/>
          <w:sz w:val="16"/>
          <w:szCs w:val="16"/>
          <w:color w:val="auto"/>
        </w:rPr>
        <w:t>Our financing activities typically consist of payments and proceeds related to our equity incentive plans for both RSUs and ESPP, and also include proceeds from the exercise of the vested warrants issued to Walmart.</w:t>
      </w:r>
    </w:p>
    <w:p>
      <w:pPr>
        <w:spacing w:after="0" w:line="1" w:lineRule="exact"/>
        <w:rPr>
          <w:sz w:val="20"/>
          <w:szCs w:val="20"/>
          <w:color w:val="auto"/>
        </w:rPr>
      </w:pPr>
    </w:p>
    <w:p>
      <w:pPr>
        <w:jc w:val="both"/>
        <w:ind w:right="320" w:firstLine="289"/>
        <w:spacing w:after="0" w:line="267" w:lineRule="auto"/>
        <w:rPr>
          <w:sz w:val="20"/>
          <w:szCs w:val="20"/>
          <w:color w:val="auto"/>
        </w:rPr>
      </w:pPr>
      <w:r>
        <w:rPr>
          <w:rFonts w:ascii="Times New Roman" w:cs="Times New Roman" w:eastAsia="Times New Roman" w:hAnsi="Times New Roman"/>
          <w:sz w:val="16"/>
          <w:szCs w:val="16"/>
          <w:color w:val="auto"/>
        </w:rPr>
        <w:t>During the three months ended December 30, 2023, we received cash of $158.7 million upon the gross exercise of Walmart’s vested warrant units, which occurred in December 2023. No other significant financing activities occurred during the three months ended December 30, 2023. There were no transactions during the three months ended December 24, 2022 in which we generated proceeds from or used cash in financing activities.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Contractual Obligations and Commitments and Liquidity Outlook</w:t>
      </w:r>
    </w:p>
    <w:p>
      <w:pPr>
        <w:spacing w:after="0" w:line="59" w:lineRule="exact"/>
        <w:rPr>
          <w:sz w:val="20"/>
          <w:szCs w:val="20"/>
          <w:color w:val="auto"/>
        </w:rPr>
      </w:pPr>
    </w:p>
    <w:p>
      <w:pPr>
        <w:ind w:right="20" w:firstLine="289"/>
        <w:spacing w:after="0" w:line="259" w:lineRule="auto"/>
        <w:rPr>
          <w:sz w:val="20"/>
          <w:szCs w:val="20"/>
          <w:color w:val="auto"/>
        </w:rPr>
      </w:pPr>
      <w:r>
        <w:rPr>
          <w:rFonts w:ascii="Times New Roman" w:cs="Times New Roman" w:eastAsia="Times New Roman" w:hAnsi="Times New Roman"/>
          <w:sz w:val="16"/>
          <w:szCs w:val="16"/>
          <w:color w:val="auto"/>
        </w:rPr>
        <w:t>Our cash flows from operations along with equity infusions have historically been sufficient to fund our operating activities and other cash requirements. As of December 30, 2023, we have a cash and cash equivalents balance of $486.0 million and short-term available for sale marketable securities balance of $189.0 million. Our cash requirements for the three months ended December 30, 2023 were primarily related to inventory purchases in order to deliver to our customers our warehouse automation systems in an orderly manner in line with our installation timeline, purchases of marketable securities in order to diversify the composition of our cash balance, and capital expenditures.</w:t>
      </w:r>
    </w:p>
    <w:p>
      <w:pPr>
        <w:spacing w:after="0" w:line="19" w:lineRule="exact"/>
        <w:rPr>
          <w:sz w:val="20"/>
          <w:szCs w:val="20"/>
          <w:color w:val="auto"/>
        </w:rPr>
      </w:pPr>
    </w:p>
    <w:p>
      <w:pPr>
        <w:ind w:right="20" w:firstLine="289"/>
        <w:spacing w:after="0" w:line="258" w:lineRule="auto"/>
        <w:rPr>
          <w:sz w:val="20"/>
          <w:szCs w:val="20"/>
          <w:color w:val="auto"/>
        </w:rPr>
      </w:pPr>
      <w:r>
        <w:rPr>
          <w:rFonts w:ascii="Times New Roman" w:cs="Times New Roman" w:eastAsia="Times New Roman" w:hAnsi="Times New Roman"/>
          <w:sz w:val="16"/>
          <w:szCs w:val="16"/>
          <w:color w:val="auto"/>
        </w:rPr>
        <w:t xml:space="preserve">Based on our present business plan, we expect our current cash and cash equivalents, unrestricted marketable securities, working capital,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and minimum contractual obligations. Contractual obligations are cash that we are obligated to pay as part of certain contracts that we have entered into during our course of business. Our contractual obligations consist of operating lease liabilities that are included in our consolidated balance sheet and vendor commitments associated with agreements that are legally binding. Our operating lease cash requirements have not changed materially since September 30, 2023, and are disclosed within Note 6,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included elsewhere in this Quarterly Report on Form 10-Q/A.</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summarizes our current and long-term material cash requirements as of December 30, 2023 for our vendor commitments: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3"/>
          </w:tcPr>
          <w:p>
            <w:pPr>
              <w:jc w:val="right"/>
              <w:ind w:right="784"/>
              <w:spacing w:after="0"/>
              <w:rPr>
                <w:sz w:val="20"/>
                <w:szCs w:val="20"/>
                <w:color w:val="auto"/>
              </w:rPr>
            </w:pPr>
            <w:r>
              <w:rPr>
                <w:rFonts w:ascii="Times New Roman" w:cs="Times New Roman" w:eastAsia="Times New Roman" w:hAnsi="Times New Roman"/>
                <w:sz w:val="14"/>
                <w:szCs w:val="14"/>
                <w:b w:val="1"/>
                <w:bCs w:val="1"/>
                <w:color w:val="auto"/>
              </w:rPr>
              <w:t>Payments due in:</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8"/>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3"/>
        </w:trPr>
        <w:tc>
          <w:tcPr>
            <w:tcW w:w="3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142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300" w:type="dxa"/>
            <w:vAlign w:val="bottom"/>
          </w:tcPr>
          <w:p>
            <w:pPr>
              <w:spacing w:after="0"/>
              <w:rPr>
                <w:sz w:val="16"/>
                <w:szCs w:val="16"/>
                <w:color w:val="auto"/>
              </w:rPr>
            </w:pPr>
          </w:p>
        </w:tc>
        <w:tc>
          <w:tcPr>
            <w:tcW w:w="1180" w:type="dxa"/>
            <w:vAlign w:val="bottom"/>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320" w:type="dxa"/>
            <w:vAlign w:val="bottom"/>
          </w:tcPr>
          <w:p>
            <w:pPr>
              <w:spacing w:after="0"/>
              <w:rPr>
                <w:sz w:val="16"/>
                <w:szCs w:val="16"/>
                <w:color w:val="auto"/>
              </w:rPr>
            </w:pPr>
          </w:p>
        </w:tc>
        <w:tc>
          <w:tcPr>
            <w:tcW w:w="11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60" w:type="dxa"/>
            <w:vAlign w:val="bottom"/>
          </w:tcPr>
          <w:p>
            <w:pPr>
              <w:spacing w:after="0"/>
              <w:rPr>
                <w:sz w:val="16"/>
                <w:szCs w:val="16"/>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More than 5 Years</w:t>
            </w:r>
          </w:p>
        </w:tc>
      </w:tr>
      <w:tr>
        <w:trPr>
          <w:trHeight w:val="28"/>
        </w:trPr>
        <w:tc>
          <w:tcPr>
            <w:tcW w:w="3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3"/>
        </w:trPr>
        <w:tc>
          <w:tcPr>
            <w:tcW w:w="3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166"/>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8"/>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Vendor commitments</w:t>
            </w: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1,243,711</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1,221,226</w:t>
            </w:r>
          </w:p>
        </w:tc>
        <w:tc>
          <w:tcPr>
            <w:tcW w:w="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22,462</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r>
      <w:tr>
        <w:trPr>
          <w:trHeight w:val="36"/>
        </w:trPr>
        <w:tc>
          <w:tcPr>
            <w:tcW w:w="33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r>
    </w:tbl>
    <w:p>
      <w:pPr>
        <w:spacing w:after="0" w:line="224" w:lineRule="exact"/>
        <w:rPr>
          <w:sz w:val="20"/>
          <w:szCs w:val="20"/>
          <w:color w:val="auto"/>
        </w:rPr>
      </w:pPr>
    </w:p>
    <w:p>
      <w:pPr>
        <w:jc w:val="both"/>
        <w:ind w:right="220" w:firstLine="289"/>
        <w:spacing w:after="0" w:line="267" w:lineRule="auto"/>
        <w:rPr>
          <w:sz w:val="20"/>
          <w:szCs w:val="20"/>
          <w:color w:val="auto"/>
        </w:rPr>
      </w:pPr>
      <w:r>
        <w:rPr>
          <w:rFonts w:ascii="Times New Roman" w:cs="Times New Roman" w:eastAsia="Times New Roman" w:hAnsi="Times New Roman"/>
          <w:sz w:val="16"/>
          <w:szCs w:val="16"/>
          <w:color w:val="auto"/>
        </w:rPr>
        <w:t>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07" w:lineRule="exact"/>
        <w:rPr>
          <w:sz w:val="20"/>
          <w:szCs w:val="20"/>
          <w:color w:val="auto"/>
        </w:rPr>
      </w:pPr>
    </w:p>
    <w:p>
      <w:pPr>
        <w:ind w:right="140" w:firstLine="289"/>
        <w:spacing w:after="0" w:line="267" w:lineRule="auto"/>
        <w:rPr>
          <w:sz w:val="20"/>
          <w:szCs w:val="20"/>
          <w:color w:val="auto"/>
        </w:rPr>
      </w:pPr>
      <w:r>
        <w:rPr>
          <w:rFonts w:ascii="Times New Roman" w:cs="Times New Roman" w:eastAsia="Times New Roman" w:hAnsi="Times New Roman"/>
          <w:sz w:val="16"/>
          <w:szCs w:val="16"/>
          <w:color w:val="auto"/>
        </w:rPr>
        <w:t>There have been no significant changes in our critical accounting policies and estimates during the three months ended December 30, 2023 as compared to the critical accounting policies and estimates disclosed in the audited consolidated financial statements and related notes thereto as of and for the year ended September 30, 2023, which are included within the Annual Report on Form 10-K filed with the SEC on December 11,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8" w:name="page39"/>
    <w:bookmarkEnd w:id="38"/>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December 30, 2023, we had no off-balance sheet arrangements as defined in Instruction 8 to Item 303(b) of Regulation S-K.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07" w:lineRule="exact"/>
        <w:rPr>
          <w:sz w:val="20"/>
          <w:szCs w:val="20"/>
          <w:color w:val="auto"/>
        </w:rPr>
      </w:pPr>
    </w:p>
    <w:p>
      <w:pPr>
        <w:ind w:right="60" w:firstLine="289"/>
        <w:spacing w:after="0" w:line="281" w:lineRule="auto"/>
        <w:rPr>
          <w:sz w:val="20"/>
          <w:szCs w:val="20"/>
          <w:color w:val="auto"/>
        </w:rPr>
      </w:pPr>
      <w:r>
        <w:rPr>
          <w:rFonts w:ascii="Times New Roman" w:cs="Times New Roman" w:eastAsia="Times New Roman" w:hAnsi="Times New Roman"/>
          <w:sz w:val="16"/>
          <w:szCs w:val="16"/>
          <w:color w:val="auto"/>
        </w:rPr>
        <w:t>For information on recent accounting pronouncements, see Recently Issued Accounting Pronouncements and Recently Adopted Accounting Pronouncements in the notes to the unaudited condensed consolidated financial statements appearing elsewhere in this Quarterly Report on Form 10-Q/A.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07" w:lineRule="exact"/>
        <w:rPr>
          <w:sz w:val="20"/>
          <w:szCs w:val="20"/>
          <w:color w:val="auto"/>
        </w:rPr>
      </w:pPr>
    </w:p>
    <w:p>
      <w:pPr>
        <w:ind w:right="620" w:firstLine="289"/>
        <w:spacing w:after="0" w:line="281" w:lineRule="auto"/>
        <w:rPr>
          <w:sz w:val="20"/>
          <w:szCs w:val="20"/>
          <w:color w:val="auto"/>
        </w:rPr>
      </w:pPr>
      <w:r>
        <w:rPr>
          <w:rFonts w:ascii="Times New Roman" w:cs="Times New Roman" w:eastAsia="Times New Roman" w:hAnsi="Times New Roman"/>
          <w:sz w:val="16"/>
          <w:szCs w:val="16"/>
          <w:color w:val="auto"/>
        </w:rPr>
        <w:t>There have been no material changes in our assessment of our sensitivity to market risk since our presentation set forth in Item 7A, “Quantitative and Qualitative Disclosures About Market Risk” in the Annual Report on Form 10-K filed with the SEC on December 11,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59" w:lineRule="exact"/>
        <w:rPr>
          <w:sz w:val="20"/>
          <w:szCs w:val="20"/>
          <w:color w:val="auto"/>
        </w:rPr>
      </w:pPr>
    </w:p>
    <w:p>
      <w:pPr>
        <w:ind w:right="60" w:firstLine="289"/>
        <w:spacing w:after="0" w:line="255"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Chief Financial Officer (our principal executive officer and principal financial officer, respectively), has evaluated the effectiveness of our disclosure controls and procedures as defined in Rules 13a-15(e) and 15d-15(e) under the Securities Exchange Act of 1934, as amended (the “Exchange Act”), as of the end of the period covered by this Quarterly Report on Form 10-Q/A.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1" w:lineRule="exact"/>
        <w:rPr>
          <w:sz w:val="20"/>
          <w:szCs w:val="20"/>
          <w:color w:val="auto"/>
        </w:rPr>
      </w:pPr>
    </w:p>
    <w:p>
      <w:pPr>
        <w:ind w:right="40" w:firstLine="289"/>
        <w:spacing w:after="0" w:line="262" w:lineRule="auto"/>
        <w:rPr>
          <w:sz w:val="20"/>
          <w:szCs w:val="20"/>
          <w:color w:val="auto"/>
        </w:rPr>
      </w:pPr>
      <w:r>
        <w:rPr>
          <w:rFonts w:ascii="Times New Roman" w:cs="Times New Roman" w:eastAsia="Times New Roman" w:hAnsi="Times New Roman"/>
          <w:sz w:val="16"/>
          <w:szCs w:val="16"/>
          <w:color w:val="auto"/>
        </w:rPr>
        <w:t>Based on such evaluation, our Chief Executive Officer and Chief Financial Officer have concluded that as of December 30, 2023, our disclosure controls and procedures were not effective at the reasonable assurance level because of the existence of a material weakness, as described below. 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16" w:lineRule="exact"/>
        <w:rPr>
          <w:sz w:val="20"/>
          <w:szCs w:val="20"/>
          <w:color w:val="auto"/>
        </w:rPr>
      </w:pPr>
    </w:p>
    <w:p>
      <w:pPr>
        <w:ind w:firstLine="289"/>
        <w:spacing w:after="0" w:line="267" w:lineRule="auto"/>
        <w:rPr>
          <w:sz w:val="20"/>
          <w:szCs w:val="20"/>
          <w:color w:val="auto"/>
        </w:rPr>
      </w:pPr>
      <w:r>
        <w:rPr>
          <w:rFonts w:ascii="Times New Roman" w:cs="Times New Roman" w:eastAsia="Times New Roman" w:hAnsi="Times New Roman"/>
          <w:sz w:val="16"/>
          <w:szCs w:val="16"/>
          <w:color w:val="auto"/>
        </w:rPr>
        <w:t>As of December 30, 2023, the Company did not effectively design procedures and controls over the timing of cost of revenue recognition. This resulted in the acceleration of the recognition of cost of revenue. Given that we recognize revenue on a percentage of completion basis, this resulted in the acceleration of recognition of revenue. That deficiency in internal control over financial reporting constituted a material weakness as of December 30, 2023.</w:t>
      </w:r>
    </w:p>
    <w:p>
      <w:pPr>
        <w:spacing w:after="0" w:line="13" w:lineRule="exact"/>
        <w:rPr>
          <w:sz w:val="20"/>
          <w:szCs w:val="20"/>
          <w:color w:val="auto"/>
        </w:rPr>
      </w:pPr>
    </w:p>
    <w:p>
      <w:pPr>
        <w:ind w:right="180" w:firstLine="289"/>
        <w:spacing w:after="0" w:line="262" w:lineRule="auto"/>
        <w:rPr>
          <w:sz w:val="20"/>
          <w:szCs w:val="20"/>
          <w:color w:val="auto"/>
        </w:rPr>
      </w:pPr>
      <w:r>
        <w:rPr>
          <w:rFonts w:ascii="Times New Roman" w:cs="Times New Roman" w:eastAsia="Times New Roman" w:hAnsi="Times New Roman"/>
          <w:sz w:val="16"/>
          <w:szCs w:val="16"/>
          <w:color w:val="auto"/>
        </w:rPr>
        <w:t>Notwithstanding the material weakness in internal control over financial reporting, our management, including our Chief Executive Officer and Chief Financial Officer, have concluded that our consolidated financial statements present fairly, in all material respects, our financial position, results of our operations and our cash flows for the periods presented in this Quarterly Report on Form 10-Q/A, in conformity with U.S. GAAP. There can be no assurance that the material weakness will not result in a misstatement to the annual or interim consolidated financial statements for future periods that would not be prevented or detected.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57" w:lineRule="exact"/>
        <w:rPr>
          <w:sz w:val="20"/>
          <w:szCs w:val="20"/>
          <w:color w:val="auto"/>
        </w:rPr>
      </w:pPr>
    </w:p>
    <w:p>
      <w:pPr>
        <w:ind w:right="160" w:firstLine="289"/>
        <w:spacing w:after="0" w:line="286" w:lineRule="auto"/>
        <w:rPr>
          <w:sz w:val="20"/>
          <w:szCs w:val="20"/>
          <w:color w:val="auto"/>
        </w:rPr>
      </w:pPr>
      <w:r>
        <w:rPr>
          <w:rFonts w:ascii="Times New Roman" w:cs="Times New Roman" w:eastAsia="Times New Roman" w:hAnsi="Times New Roman"/>
          <w:sz w:val="16"/>
          <w:szCs w:val="16"/>
          <w:color w:val="auto"/>
        </w:rPr>
        <w:t xml:space="preserve">Subject to the matters set forth below under </w:t>
      </w:r>
      <w:r>
        <w:rPr>
          <w:rFonts w:ascii="Times New Roman" w:cs="Times New Roman" w:eastAsia="Times New Roman" w:hAnsi="Times New Roman"/>
          <w:sz w:val="16"/>
          <w:szCs w:val="16"/>
          <w:i w:val="1"/>
          <w:iCs w:val="1"/>
          <w:color w:val="auto"/>
        </w:rPr>
        <w:t>Material Weakness Remediation Plan</w:t>
      </w:r>
      <w:r>
        <w:rPr>
          <w:rFonts w:ascii="Times New Roman" w:cs="Times New Roman" w:eastAsia="Times New Roman" w:hAnsi="Times New Roman"/>
          <w:sz w:val="16"/>
          <w:szCs w:val="16"/>
          <w:color w:val="auto"/>
        </w:rPr>
        <w:t>, there have been no changes in our internal control over financial reporting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9" w:name="page40"/>
    <w:bookmarkEnd w:id="39"/>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Material Weakness Remediation Plan</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Management has developed a remediation plan, which it began implementing as of the end of fiscal year 2024, that includes the following elements:</w:t>
      </w:r>
    </w:p>
    <w:p>
      <w:pPr>
        <w:spacing w:after="0" w:line="57" w:lineRule="exact"/>
        <w:rPr>
          <w:sz w:val="20"/>
          <w:szCs w:val="20"/>
          <w:color w:val="auto"/>
        </w:rPr>
      </w:pPr>
    </w:p>
    <w:p>
      <w:pPr>
        <w:ind w:left="580" w:hanging="294"/>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Augmented compensating controls over the receipt of goods and services, with a focus on milestone related expenses;</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Implemented ERP system enhancements for goods and services receipts and enhanced documentation requirements for milestone related expenses; and</w:t>
      </w:r>
    </w:p>
    <w:p>
      <w:pPr>
        <w:spacing w:after="0" w:line="57"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Training of the employees and redesign of the structure of the organization receiving good and services.</w:t>
      </w:r>
    </w:p>
    <w:p>
      <w:pPr>
        <w:spacing w:after="0" w:line="57" w:lineRule="exact"/>
        <w:rPr>
          <w:sz w:val="20"/>
          <w:szCs w:val="20"/>
          <w:color w:val="auto"/>
        </w:rPr>
      </w:pPr>
    </w:p>
    <w:p>
      <w:pPr>
        <w:ind w:firstLine="289"/>
        <w:spacing w:after="0" w:line="258" w:lineRule="auto"/>
        <w:rPr>
          <w:sz w:val="20"/>
          <w:szCs w:val="20"/>
          <w:color w:val="auto"/>
        </w:rPr>
      </w:pPr>
      <w:r>
        <w:rPr>
          <w:rFonts w:ascii="Times New Roman" w:cs="Times New Roman" w:eastAsia="Times New Roman" w:hAnsi="Times New Roman"/>
          <w:sz w:val="16"/>
          <w:szCs w:val="16"/>
          <w:color w:val="auto"/>
        </w:rPr>
        <w:t>Management is committed to the completion of the remediation of this material weakness and expects to successfully implement enhanced control processes. Management has also engaged third-party consultants to evaluate and help simplify business processes around the receipts of goods and services. However, as management continues to evaluate and work to improve our internal control over financial reporting, it may determine that additional measures to address control deficiencies or modifications to the remediation plan are necessary. Therefore, management cannot assure you when this material weakness will be remediated, that additional actions will not be required to remediate the material weakness, or the costs of any such additional actions. The material weakness will not be considered remediated until the remediated controls operate for a sufficient period of time and management has concluded, through further testing, that these controls are operating effectively.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ERP System Implementation</w:t>
      </w:r>
    </w:p>
    <w:p>
      <w:pPr>
        <w:spacing w:after="0" w:line="59" w:lineRule="exact"/>
        <w:rPr>
          <w:sz w:val="20"/>
          <w:szCs w:val="20"/>
          <w:color w:val="auto"/>
        </w:rPr>
      </w:pPr>
    </w:p>
    <w:p>
      <w:pPr>
        <w:ind w:right="80" w:firstLine="289"/>
        <w:spacing w:after="0" w:line="258" w:lineRule="auto"/>
        <w:rPr>
          <w:sz w:val="20"/>
          <w:szCs w:val="20"/>
          <w:color w:val="auto"/>
        </w:rPr>
      </w:pPr>
      <w:r>
        <w:rPr>
          <w:rFonts w:ascii="Times New Roman" w:cs="Times New Roman" w:eastAsia="Times New Roman" w:hAnsi="Times New Roman"/>
          <w:sz w:val="16"/>
          <w:szCs w:val="16"/>
          <w:color w:val="auto"/>
        </w:rPr>
        <w:t>The Company is in the process of completing its new enterprise resource planning (“ERP”) system implementation, SAP’s S4/HANA which is expected to improve the efficiency of certain financial and related business processes. A significant portion of the implementation was completed in the current period; however, the Company continues to expand the use of this system which is intended to support the Company’s business needs as the Company continues to grow. The implementation of SAP’s S4/HANA is expected to strengthen the financial controls by automating certain manual processes and standardizing business processes and reporting across the organization. The Company will continue to evaluate and monitor the internal controls over financial reporting during this period of change and will continue to evaluate the operating effectiveness of related key controls. For a discussion of risks related to the implementation of new systems, see Part I, Item 1A, Risk Factors.</w:t>
      </w:r>
    </w:p>
    <w:p>
      <w:pPr>
        <w:spacing w:after="0" w:line="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07" w:lineRule="exact"/>
        <w:rPr>
          <w:sz w:val="20"/>
          <w:szCs w:val="20"/>
          <w:color w:val="auto"/>
        </w:rPr>
      </w:pPr>
    </w:p>
    <w:p>
      <w:pPr>
        <w:jc w:val="both"/>
        <w:ind w:right="100" w:firstLine="289"/>
        <w:spacing w:after="0" w:line="262" w:lineRule="auto"/>
        <w:rPr>
          <w:sz w:val="20"/>
          <w:szCs w:val="20"/>
          <w:color w:val="auto"/>
        </w:rPr>
      </w:pPr>
      <w:r>
        <w:rPr>
          <w:rFonts w:ascii="Times New Roman" w:cs="Times New Roman" w:eastAsia="Times New Roman" w:hAnsi="Times New Roman"/>
          <w:sz w:val="16"/>
          <w:szCs w:val="16"/>
          <w:color w:val="auto"/>
        </w:rPr>
        <w:t>We may be subject from time to time to various claims, lawsuits, and other legal and administrative proceedings arising in the ordinary course of business. Some of these claims, lawsuits, and other proceedings may involve highly complex issues that are subject to substantial uncertainties, and could result in damages, fines, and penalties, non-monetary sanctions, or relief. We intend to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07" w:lineRule="exact"/>
        <w:rPr>
          <w:sz w:val="20"/>
          <w:szCs w:val="20"/>
          <w:color w:val="auto"/>
        </w:rPr>
      </w:pPr>
    </w:p>
    <w:p>
      <w:pPr>
        <w:jc w:val="both"/>
        <w:ind w:right="360" w:firstLine="289"/>
        <w:spacing w:after="0" w:line="267" w:lineRule="auto"/>
        <w:rPr>
          <w:sz w:val="20"/>
          <w:szCs w:val="20"/>
          <w:color w:val="auto"/>
        </w:rPr>
      </w:pPr>
      <w:r>
        <w:rPr>
          <w:rFonts w:ascii="Times New Roman" w:cs="Times New Roman" w:eastAsia="Times New Roman" w:hAnsi="Times New Roman"/>
          <w:sz w:val="16"/>
          <w:szCs w:val="16"/>
          <w:color w:val="auto"/>
        </w:rPr>
        <w:t>We are subject to various risks and uncertainties in the course of our business. For a detailed discussion of these risks, please see the section in our Annual Report on Form 10-K filed with the SEC on December 11, 2023 titled “Risk Factors”. Any of the matters highlighted in those risk factors and the risk factors below could adversely affect our business, results of operation and financial condition.</w:t>
      </w:r>
    </w:p>
    <w:p>
      <w:pPr>
        <w:spacing w:after="0" w:line="15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required to assess our internal control over financial reporting and our management has identified a material weakness. If our remediation of the material weakness is not effective, or we identify additional material weaknesses or other adverse findings in the future, our ability to report our financial condition or results of operations accurately or timely or prevent fraud may be adversely affected, which may result in a loss of investor confidence in our financial reports, significant expenses to remediate any internal control deficiencies, and ultimately have an adverse effect on the trading price of our common stock.</w:t>
      </w:r>
    </w:p>
    <w:p>
      <w:pPr>
        <w:spacing w:after="0" w:line="62" w:lineRule="exact"/>
        <w:rPr>
          <w:sz w:val="20"/>
          <w:szCs w:val="20"/>
          <w:color w:val="auto"/>
        </w:rPr>
      </w:pPr>
    </w:p>
    <w:p>
      <w:pPr>
        <w:ind w:right="800" w:firstLine="289"/>
        <w:spacing w:after="0" w:line="284" w:lineRule="auto"/>
        <w:rPr>
          <w:sz w:val="20"/>
          <w:szCs w:val="20"/>
          <w:color w:val="auto"/>
        </w:rPr>
      </w:pPr>
      <w:r>
        <w:rPr>
          <w:rFonts w:ascii="Times New Roman" w:cs="Times New Roman" w:eastAsia="Times New Roman" w:hAnsi="Times New Roman"/>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40" w:name="page41"/>
    <w:bookmarkEnd w:id="40"/>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6"/>
          <w:szCs w:val="16"/>
          <w:color w:val="auto"/>
        </w:rPr>
        <w:t>improved controls, or difficulties encountered in their implementation could cause us to fail to meet our reporting obligations. Pursuant to Section 404 of the Sarbanes-Oxley Act, or Section 404, we are required to furnish a report by our management on our internal control over financial reporting. As we are no longer an “emerging growth company” as of the end of the fiscal year ended September 28, 2024, to achieve compliance with Section 404, we are required to document and test the operating effectiveness of our internal control over financial reporting, which is both costly and challenging.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pacing w:after="0" w:line="21" w:lineRule="exact"/>
        <w:rPr>
          <w:sz w:val="20"/>
          <w:szCs w:val="20"/>
          <w:color w:val="auto"/>
        </w:rPr>
      </w:pPr>
    </w:p>
    <w:p>
      <w:pPr>
        <w:ind w:right="60" w:firstLine="289"/>
        <w:spacing w:after="0" w:line="256" w:lineRule="auto"/>
        <w:rPr>
          <w:sz w:val="20"/>
          <w:szCs w:val="20"/>
          <w:color w:val="auto"/>
        </w:rPr>
      </w:pPr>
      <w:r>
        <w:rPr>
          <w:rFonts w:ascii="Times New Roman" w:cs="Times New Roman" w:eastAsia="Times New Roman" w:hAnsi="Times New Roman"/>
          <w:sz w:val="16"/>
          <w:szCs w:val="16"/>
          <w:color w:val="auto"/>
        </w:rPr>
        <w:t xml:space="preserve">Our management has conducted an evaluation of the effectiveness of our internal control over financial reporting as of December 30, 2023. Based upon this evaluation and those criteria, management concluded that, as of December 30, 2023, the Company’s internal control over financial reporting was not effective due to the identification of a material weakness. As of December 30, 2023, the Company did not effectively design procedures and controls over the timing of the recognition of cost of revenue. This resulted in the acceleration of the recognition of cost of revenue. Given that we recognize revenue on a percentage of completion basis, this resulted in the acceleration of recognition of revenue. That deficiency in internal control over financial reporting constituted a material weakness. For further discussion of the material weakness, see Part I, Item 4. </w:t>
      </w:r>
      <w:r>
        <w:rPr>
          <w:rFonts w:ascii="Times New Roman" w:cs="Times New Roman" w:eastAsia="Times New Roman" w:hAnsi="Times New Roman"/>
          <w:sz w:val="16"/>
          <w:szCs w:val="16"/>
          <w:i w:val="1"/>
          <w:iCs w:val="1"/>
          <w:color w:val="auto"/>
        </w:rPr>
        <w:t>Controls and Procedures</w:t>
      </w:r>
      <w:r>
        <w:rPr>
          <w:rFonts w:ascii="Times New Roman" w:cs="Times New Roman" w:eastAsia="Times New Roman" w:hAnsi="Times New Roman"/>
          <w:sz w:val="16"/>
          <w:szCs w:val="16"/>
          <w:color w:val="auto"/>
        </w:rPr>
        <w:t>.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24" w:lineRule="exact"/>
        <w:rPr>
          <w:sz w:val="20"/>
          <w:szCs w:val="20"/>
          <w:color w:val="auto"/>
        </w:rPr>
      </w:pPr>
    </w:p>
    <w:p>
      <w:pPr>
        <w:ind w:right="140" w:firstLine="289"/>
        <w:spacing w:after="0" w:line="262" w:lineRule="auto"/>
        <w:rPr>
          <w:sz w:val="20"/>
          <w:szCs w:val="20"/>
          <w:color w:val="auto"/>
        </w:rPr>
      </w:pPr>
      <w:r>
        <w:rPr>
          <w:rFonts w:ascii="Times New Roman" w:cs="Times New Roman" w:eastAsia="Times New Roman" w:hAnsi="Times New Roman"/>
          <w:sz w:val="16"/>
          <w:szCs w:val="16"/>
          <w:color w:val="auto"/>
        </w:rPr>
        <w:t>We may be unable to conclude in future periods that our disclosure controls and procedures are effective due to the effects of various factors, which may, in part, include unremediated material weaknesses in internal controls over financial reporting. Disclosure controls and procedures include, without limitation, controls and procedures designed to ensure that information required to be disclosed by a company in those reports is accumulated and communicated to the company’s management, including its principal executive and principal financial officers, as appropriate to allow timely decisions regarding required disclosure.</w:t>
      </w:r>
    </w:p>
    <w:p>
      <w:pPr>
        <w:spacing w:after="0" w:line="16" w:lineRule="exact"/>
        <w:rPr>
          <w:sz w:val="20"/>
          <w:szCs w:val="20"/>
          <w:color w:val="auto"/>
        </w:rPr>
      </w:pPr>
    </w:p>
    <w:p>
      <w:pPr>
        <w:ind w:firstLine="289"/>
        <w:spacing w:after="0" w:line="258" w:lineRule="auto"/>
        <w:rPr>
          <w:sz w:val="20"/>
          <w:szCs w:val="20"/>
          <w:color w:val="auto"/>
        </w:rPr>
      </w:pPr>
      <w:r>
        <w:rPr>
          <w:rFonts w:ascii="Times New Roman" w:cs="Times New Roman" w:eastAsia="Times New Roman" w:hAnsi="Times New Roman"/>
          <w:sz w:val="16"/>
          <w:szCs w:val="16"/>
          <w:color w:val="auto"/>
        </w:rPr>
        <w:t>Management is committed to maintaining a strong internal control environment and believes its remediation efforts will represent an improvement in existing controls. Management anticipates that the new controls, as implemented and when tested for a sufficient period of time, will remediate the material weakness. We may not be successful in promptly remediating the material weakness identified by management or be able to identify and remediate additional control deficiencies, including material weaknesses, in the future. Remediation efforts have placed, and will continue to place, a significant burden on management and add increased pressure on our financial reporting resources and processes. The accuracy of our financial reporting and our ability to timely file with the SEC may in the future be adversely impacted if we are unable to successfully remediate the material weakness in a timely manner, or if any additional material weaknesses in our internal control over financial reporting are identified.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implementing a new enterprise resource planning system, and challenges with the implementation of the system may impact our business and operations.</w:t>
      </w:r>
    </w:p>
    <w:p>
      <w:pPr>
        <w:spacing w:after="0" w:line="61" w:lineRule="exact"/>
        <w:rPr>
          <w:sz w:val="20"/>
          <w:szCs w:val="20"/>
          <w:color w:val="auto"/>
        </w:rPr>
      </w:pPr>
    </w:p>
    <w:p>
      <w:pPr>
        <w:ind w:right="80" w:firstLine="289"/>
        <w:spacing w:after="0" w:line="256" w:lineRule="auto"/>
        <w:rPr>
          <w:sz w:val="20"/>
          <w:szCs w:val="20"/>
          <w:color w:val="auto"/>
        </w:rPr>
      </w:pPr>
      <w:r>
        <w:rPr>
          <w:rFonts w:ascii="Times New Roman" w:cs="Times New Roman" w:eastAsia="Times New Roman" w:hAnsi="Times New Roman"/>
          <w:sz w:val="16"/>
          <w:szCs w:val="16"/>
          <w:color w:val="auto"/>
        </w:rPr>
        <w:t>We are in the process of completing a multi-year implementation of a complex new ERP system. The ERP system implementation has required the integration of the new ERP system with multiple new and existing information systems and business processes, and has been designed to accurately maintain our books and records and provide information to our management teams important to the operation of the business. Our ERP system implementation will continue to require ongoing maintenance and monitoring. Conversion from our old system to the new ERP system may cause inefficiencies until the ERP system is stabilized and mature. The implementation of our new ERP system has mandated new procedures and many new controls over financial reporting. These procedures and controls are not yet mature in their operation. If we are unable to adequately implement and maintain procedures and controls relating to our new ERP system, our ability to produce timely and accurate financial statements or comply with applicable regulations could be impaired and impact our assessment of the effectiveness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41" w:name="page42"/>
    <w:bookmarkEnd w:id="41"/>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07" w:lineRule="exact"/>
        <w:rPr>
          <w:sz w:val="20"/>
          <w:szCs w:val="20"/>
          <w:color w:val="auto"/>
        </w:rPr>
      </w:pPr>
    </w:p>
    <w:p>
      <w:pPr>
        <w:ind w:firstLine="289"/>
        <w:spacing w:after="0" w:line="256" w:lineRule="auto"/>
        <w:rPr>
          <w:sz w:val="20"/>
          <w:szCs w:val="20"/>
          <w:color w:val="auto"/>
        </w:rPr>
      </w:pPr>
      <w:r>
        <w:rPr>
          <w:rFonts w:ascii="Times New Roman" w:cs="Times New Roman" w:eastAsia="Times New Roman" w:hAnsi="Times New Roman"/>
          <w:sz w:val="16"/>
          <w:szCs w:val="16"/>
          <w:color w:val="auto"/>
        </w:rPr>
        <w:t>On May 20, 2022, in connection with its entry into the 2nd Amended and Restated Master Automation Agreement, the Company issued Walmart a warrant to acquire up to an aggregate of 258,972 Legacy Warehouse Class A Units (“May 2022 Warrant”), subject to certain vesting conditions. The May 2022 Warrant had a grant date fair value of $224.45. In connection with the closing of the Company’s initial public offering in June 2022, the May 2022 Warrant was converted into a new warrant to acquire up to an aggregate of 15,870,411 common units of Symbotic Holdings LLC (“June 2022 Warrant” and, the common units of Symbotic Holdings LLC issuable thereunder, the “Warrant Units”). The June 2022 Warrant vested on January 14, 2023, as the installation commencement date for certain Systems which the Company is installing in Walmart’s 42 regional distribution centers had occurred. Walmart gross exercised the June 2022 Warrant on December 12, 2023 for $158.7 million. As a result of this gross exercise, 15,870,411 shares of Class V-1 Common Stock of the Company and the same number of common units of Symbotic Holdings LLC were issued to Walmart.</w:t>
      </w:r>
    </w:p>
    <w:p>
      <w:pPr>
        <w:spacing w:after="0" w:line="24" w:lineRule="exact"/>
        <w:rPr>
          <w:sz w:val="20"/>
          <w:szCs w:val="20"/>
          <w:color w:val="auto"/>
        </w:rPr>
      </w:pPr>
    </w:p>
    <w:p>
      <w:pPr>
        <w:ind w:right="140" w:firstLine="289"/>
        <w:spacing w:after="0" w:line="281" w:lineRule="auto"/>
        <w:rPr>
          <w:sz w:val="20"/>
          <w:szCs w:val="20"/>
          <w:color w:val="auto"/>
        </w:rPr>
      </w:pPr>
      <w:r>
        <w:rPr>
          <w:rFonts w:ascii="Times New Roman" w:cs="Times New Roman" w:eastAsia="Times New Roman" w:hAnsi="Times New Roman"/>
          <w:sz w:val="16"/>
          <w:szCs w:val="16"/>
          <w:color w:val="auto"/>
        </w:rPr>
        <w:t>The Company issued each of the foregoing securities under Section 4(a)(2) of the Securities Act and/or Rule 506 of Regulation D promulgated under the Securities Act, as a transaction not requiring registration under Section 5 of the Securities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07" w:lineRule="exact"/>
        <w:rPr>
          <w:sz w:val="20"/>
          <w:szCs w:val="20"/>
          <w:color w:val="auto"/>
        </w:rPr>
      </w:pPr>
    </w:p>
    <w:p>
      <w:pPr>
        <w:ind w:right="100" w:firstLine="289"/>
        <w:spacing w:after="0" w:line="282" w:lineRule="auto"/>
        <w:rPr>
          <w:sz w:val="20"/>
          <w:szCs w:val="20"/>
          <w:color w:val="auto"/>
        </w:rPr>
      </w:pPr>
      <w:r>
        <w:rPr>
          <w:rFonts w:ascii="Times New Roman" w:cs="Times New Roman" w:eastAsia="Times New Roman" w:hAnsi="Times New Roman"/>
          <w:sz w:val="16"/>
          <w:szCs w:val="16"/>
          <w:color w:val="auto"/>
        </w:rPr>
        <w:t>During the fiscal quarter ended December 30, 2023, the following director(s) and officer(s), as defined in Rule 16a-1(f) under the Exchange Act, adopted or terminated a “Rule 10b5-1 trading arrangement” or a “non-Rule 10b5-1 trading arrangement,” as defined in Regulation S-K Item 408:</w:t>
      </w:r>
    </w:p>
    <w:p>
      <w:pPr>
        <w:spacing w:after="0" w:line="1" w:lineRule="exact"/>
        <w:rPr>
          <w:sz w:val="20"/>
          <w:szCs w:val="20"/>
          <w:color w:val="auto"/>
        </w:rPr>
      </w:pPr>
    </w:p>
    <w:p>
      <w:pPr>
        <w:ind w:right="80" w:firstLine="289"/>
        <w:spacing w:after="0" w:line="262" w:lineRule="auto"/>
        <w:rPr>
          <w:sz w:val="20"/>
          <w:szCs w:val="20"/>
          <w:color w:val="auto"/>
        </w:rPr>
      </w:pPr>
      <w:r>
        <w:rPr>
          <w:rFonts w:ascii="Times New Roman" w:cs="Times New Roman" w:eastAsia="Times New Roman" w:hAnsi="Times New Roman"/>
          <w:sz w:val="16"/>
          <w:szCs w:val="16"/>
          <w:color w:val="auto"/>
        </w:rPr>
        <w:t>On December 14, 2023, Merline Saintil, a director of the Company, entered into a trading plan pursuant to Rule 10b5-1 of the Exchange Act. Ms. Saintil’s Rule 10b5-1 trading plan provides for the sale of up to a maximum of 23,385 shares of Class A Common Stock for which Ms. Saintil is a beneficial owner as defined in Rule 16a-1(a) under the Exchange Act. Ms. Saintil’s Rule 10b5-1 trading plan expires on December 30, 2024, or earlier if all transactions under the trading arrangement are completed. The trading arrangement is intended to satisfy the affirmative defense in Rule 10b5-1(c) under the Exchange Act.</w:t>
      </w:r>
    </w:p>
    <w:p>
      <w:pPr>
        <w:spacing w:after="0" w:line="16" w:lineRule="exact"/>
        <w:rPr>
          <w:sz w:val="20"/>
          <w:szCs w:val="20"/>
          <w:color w:val="auto"/>
        </w:rPr>
      </w:pPr>
    </w:p>
    <w:p>
      <w:pPr>
        <w:ind w:firstLine="289"/>
        <w:spacing w:after="0" w:line="256" w:lineRule="auto"/>
        <w:rPr>
          <w:sz w:val="20"/>
          <w:szCs w:val="20"/>
          <w:color w:val="auto"/>
        </w:rPr>
      </w:pPr>
      <w:r>
        <w:rPr>
          <w:rFonts w:ascii="Times New Roman" w:cs="Times New Roman" w:eastAsia="Times New Roman" w:hAnsi="Times New Roman"/>
          <w:sz w:val="16"/>
          <w:szCs w:val="16"/>
          <w:color w:val="auto"/>
        </w:rPr>
        <w:t>On December 14, 2023, William Boyd, the Company’s Chief Strategy Officer, entered into a trading plan pursuant to Rule 10b5-1 of the Exchange Act. Mr. Boyd’s Rule 10b5-1 trading plan provides for the sale of shares of Class A Common Stock that he has received or will receive following the vesting of various RSU grants. Mr. Boyd’s 10b5-1 trading plan calls for the sale of a percentage of shares that he could receive upon the future vesting of certain outstanding equity awards, net of any shares withheld by us to satisfy applicable taxes. The number of shares to be withheld, and thus the exact number of shares to be sold pursuant to Mr. Boyd’s 10b5-1 trading plan, can only be determined upon the occurrence of the future vesting events. For purposes of this disclosure, without subtracting any shares to be withheld upon future vesting events, the maximum aggregate number of shares that may be sold pursuant to Mr. Boyd’s 10b5-1 trading plan is 26,477 shares of Class A Common Stock. Mr. Boyd’s Rule 10b5-1 trading plan expires on November 15, 2024, or earlier if all transactions under the trading arrangement are completed. The trading arrangement is intended to satisfy the affirmative defense in Rule 10b5-1(c) under the Exchange Act.</w:t>
      </w:r>
    </w:p>
    <w:p>
      <w:pPr>
        <w:spacing w:after="0" w:line="21" w:lineRule="exact"/>
        <w:rPr>
          <w:sz w:val="20"/>
          <w:szCs w:val="20"/>
          <w:color w:val="auto"/>
        </w:rPr>
      </w:pPr>
    </w:p>
    <w:p>
      <w:pPr>
        <w:ind w:right="160" w:firstLine="289"/>
        <w:spacing w:after="0" w:line="262" w:lineRule="auto"/>
        <w:rPr>
          <w:sz w:val="20"/>
          <w:szCs w:val="20"/>
          <w:color w:val="auto"/>
        </w:rPr>
      </w:pPr>
      <w:r>
        <w:rPr>
          <w:rFonts w:ascii="Times New Roman" w:cs="Times New Roman" w:eastAsia="Times New Roman" w:hAnsi="Times New Roman"/>
          <w:sz w:val="16"/>
          <w:szCs w:val="16"/>
          <w:color w:val="auto"/>
        </w:rPr>
        <w:t>Certain of our directors or officers have made elections to participate in, and are participating in, our Incentive Compensation Plan, ESPP or our defined-contribution benefit plan under the provisions of Section 401(k) of the Internal Revenue Code and have may, and may from time to time make, elections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42" w:name="page43"/>
    <w:bookmarkEnd w:id="42"/>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1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exhibits listed below are filed or incorporated by reference into this Report.</w:t>
      </w:r>
    </w:p>
    <w:p>
      <w:pPr>
        <w:spacing w:after="0" w:line="370" w:lineRule="exact"/>
        <w:rPr>
          <w:sz w:val="20"/>
          <w:szCs w:val="20"/>
          <w:color w:val="auto"/>
        </w:rPr>
      </w:pPr>
    </w:p>
    <w:tbl>
      <w:tblPr>
        <w:tblLayout w:type="fixed"/>
        <w:tblInd w:w="280" w:type="dxa"/>
        <w:tblCellMar>
          <w:top w:w="0" w:type="dxa"/>
          <w:left w:w="0" w:type="dxa"/>
          <w:bottom w:w="0" w:type="dxa"/>
          <w:right w:w="0" w:type="dxa"/>
        </w:tblCellMar>
      </w:tblPr>
      <w:tr>
        <w:trPr>
          <w:trHeight w:val="209"/>
        </w:trPr>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Exhibit</w:t>
            </w:r>
          </w:p>
        </w:tc>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60" w:type="dxa"/>
            <w:vAlign w:val="bottom"/>
            <w:gridSpan w:val="7"/>
          </w:tcPr>
          <w:p>
            <w:pPr>
              <w:ind w:left="720"/>
              <w:spacing w:after="0"/>
              <w:rPr>
                <w:sz w:val="20"/>
                <w:szCs w:val="20"/>
                <w:color w:val="auto"/>
              </w:rPr>
            </w:pPr>
            <w:r>
              <w:rPr>
                <w:rFonts w:ascii="Times New Roman" w:cs="Times New Roman" w:eastAsia="Times New Roman" w:hAnsi="Times New Roman"/>
                <w:sz w:val="16"/>
                <w:szCs w:val="16"/>
                <w:color w:val="auto"/>
              </w:rPr>
              <w:t>Description</w:t>
            </w:r>
          </w:p>
        </w:tc>
      </w:tr>
      <w:tr>
        <w:trPr>
          <w:trHeight w:val="36"/>
        </w:trPr>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r>
      <w:tr>
        <w:trPr>
          <w:trHeight w:val="173"/>
        </w:trPr>
        <w:tc>
          <w:tcPr>
            <w:tcW w:w="1000" w:type="dxa"/>
            <w:vAlign w:val="bottom"/>
          </w:tcPr>
          <w:p>
            <w:pPr>
              <w:ind w:left="20"/>
              <w:spacing w:after="0" w:line="173" w:lineRule="exact"/>
              <w:rPr>
                <w:sz w:val="20"/>
                <w:szCs w:val="20"/>
                <w:color w:val="auto"/>
              </w:rPr>
            </w:pPr>
            <w:r>
              <w:rPr>
                <w:rFonts w:ascii="Times New Roman" w:cs="Times New Roman" w:eastAsia="Times New Roman" w:hAnsi="Times New Roman"/>
                <w:sz w:val="16"/>
                <w:szCs w:val="16"/>
                <w:color w:val="auto"/>
              </w:rPr>
              <w:t>10.1#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20" w:type="dxa"/>
            <w:vAlign w:val="bottom"/>
            <w:gridSpan w:val="8"/>
          </w:tcPr>
          <w:p>
            <w:pPr>
              <w:spacing w:after="0" w:line="173"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Offer Letter, dated as of January 13, 2023, by and between Symbotic LLC and Walter Odisho</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Rule 15d-14(a) of the Securities</w:t>
            </w:r>
          </w:p>
        </w:tc>
      </w:tr>
      <w:tr>
        <w:trPr>
          <w:trHeight w:val="185"/>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Exchange Act of 1934, as amended</w:t>
            </w:r>
          </w:p>
        </w:tc>
        <w:tc>
          <w:tcPr>
            <w:tcW w:w="24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21"/>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Rule 15d-14(a) of the Securities</w:t>
            </w:r>
          </w:p>
        </w:tc>
      </w:tr>
      <w:tr>
        <w:trPr>
          <w:trHeight w:val="185"/>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Exchange Act of 1934, as amended</w:t>
            </w:r>
          </w:p>
        </w:tc>
        <w:tc>
          <w:tcPr>
            <w:tcW w:w="300" w:type="dxa"/>
            <w:vAlign w:val="bottom"/>
            <w:gridSpan w:val="2"/>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221"/>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9"/>
              </w:rPr>
              <w:t>Certification of Chief Executive Officer pursuant to 18 U.S.C. Section 1350, as adopted pursuant to</w:t>
            </w:r>
          </w:p>
        </w:tc>
        <w:tc>
          <w:tcPr>
            <w:tcW w:w="320" w:type="dxa"/>
            <w:vAlign w:val="bottom"/>
            <w:gridSpan w:val="3"/>
          </w:tcPr>
          <w:p>
            <w:pPr>
              <w:spacing w:after="0"/>
              <w:rPr>
                <w:sz w:val="19"/>
                <w:szCs w:val="19"/>
                <w:color w:val="auto"/>
              </w:rPr>
            </w:pPr>
          </w:p>
        </w:tc>
      </w:tr>
      <w:tr>
        <w:trPr>
          <w:trHeight w:val="185"/>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Section 906 of the Sarbanes-Oxley Act of 2002</w:t>
            </w: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221"/>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w:t>
            </w:r>
          </w:p>
        </w:tc>
        <w:tc>
          <w:tcPr>
            <w:tcW w:w="360" w:type="dxa"/>
            <w:vAlign w:val="bottom"/>
            <w:gridSpan w:val="4"/>
          </w:tcPr>
          <w:p>
            <w:pPr>
              <w:spacing w:after="0"/>
              <w:rPr>
                <w:sz w:val="19"/>
                <w:szCs w:val="19"/>
                <w:color w:val="auto"/>
              </w:rPr>
            </w:pPr>
          </w:p>
        </w:tc>
      </w:tr>
      <w:tr>
        <w:trPr>
          <w:trHeight w:val="185"/>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Section 906 of the Sarbanes-Oxley Act of 2002</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r>
      <w:tr>
        <w:trPr>
          <w:trHeight w:val="257"/>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2"/>
                <w:szCs w:val="22"/>
                <w:color w:val="auto"/>
              </w:rPr>
            </w:pPr>
          </w:p>
        </w:tc>
        <w:tc>
          <w:tcPr>
            <w:tcW w:w="67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5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tcPr>
          <w:p>
            <w:pPr>
              <w:spacing w:after="0"/>
              <w:rPr>
                <w:sz w:val="22"/>
                <w:szCs w:val="22"/>
                <w:color w:val="auto"/>
              </w:rPr>
            </w:pPr>
          </w:p>
        </w:tc>
        <w:tc>
          <w:tcPr>
            <w:tcW w:w="67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5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22"/>
                <w:szCs w:val="22"/>
                <w:color w:val="auto"/>
              </w:rPr>
            </w:pPr>
          </w:p>
        </w:tc>
        <w:tc>
          <w:tcPr>
            <w:tcW w:w="67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25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tcPr>
          <w:p>
            <w:pPr>
              <w:spacing w:after="0"/>
              <w:rPr>
                <w:sz w:val="22"/>
                <w:szCs w:val="22"/>
                <w:color w:val="auto"/>
              </w:rPr>
            </w:pPr>
          </w:p>
        </w:tc>
        <w:tc>
          <w:tcPr>
            <w:tcW w:w="67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5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22"/>
                <w:szCs w:val="22"/>
                <w:color w:val="auto"/>
              </w:rPr>
            </w:pPr>
          </w:p>
        </w:tc>
        <w:tc>
          <w:tcPr>
            <w:tcW w:w="67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bl>
    <w:p>
      <w:pPr>
        <w:spacing w:after="0" w:line="44" w:lineRule="exact"/>
        <w:rPr>
          <w:sz w:val="20"/>
          <w:szCs w:val="20"/>
          <w:color w:val="auto"/>
        </w:rPr>
      </w:pPr>
    </w:p>
    <w:p>
      <w:pPr>
        <w:ind w:left="1380" w:right="480" w:hanging="1078"/>
        <w:spacing w:after="0" w:line="300" w:lineRule="auto"/>
        <w:tabs>
          <w:tab w:leader="none" w:pos="138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p>
      <w:pPr>
        <w:spacing w:after="0" w:line="94" w:lineRule="exact"/>
        <w:rPr>
          <w:rFonts w:ascii="Times New Roman" w:cs="Times New Roman" w:eastAsia="Times New Roman" w:hAnsi="Times New Roman"/>
          <w:sz w:val="16"/>
          <w:szCs w:val="16"/>
          <w:color w:val="auto"/>
        </w:rPr>
      </w:pPr>
    </w:p>
    <w:p>
      <w:pPr>
        <w:ind w:left="400" w:hanging="114"/>
        <w:spacing w:after="0"/>
        <w:tabs>
          <w:tab w:leader="none" w:pos="4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64770</wp:posOffset>
            </wp:positionV>
            <wp:extent cx="717232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8669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866900" cy="762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Form</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Exhibit</w:t>
            </w: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Filing Date</w:t>
            </w:r>
          </w:p>
        </w:tc>
      </w:tr>
      <w:tr>
        <w:trPr>
          <w:trHeight w:val="36"/>
        </w:trPr>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0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10-Q</w:t>
            </w:r>
          </w:p>
        </w:tc>
        <w:tc>
          <w:tcPr>
            <w:tcW w:w="88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8"/>
                <w:szCs w:val="18"/>
                <w:color w:val="auto"/>
              </w:rPr>
            </w:pPr>
          </w:p>
        </w:tc>
        <w:tc>
          <w:tcPr>
            <w:tcW w:w="116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w w:val="98"/>
              </w:rPr>
              <w:t>2/8/2024</w:t>
            </w:r>
          </w:p>
        </w:tc>
      </w:tr>
    </w:tbl>
    <w:p>
      <w:pPr>
        <w:sectPr>
          <w:pgSz w:w="11900" w:h="16838" w:orient="portrait"/>
          <w:cols w:equalWidth="0" w:num="2">
            <w:col w:w="8100" w:space="100"/>
            <w:col w:w="2940"/>
          </w:cols>
          <w:pgMar w:left="320" w:top="171" w:right="439" w:bottom="1440" w:gutter="0" w:footer="0" w:header="0"/>
        </w:sectPr>
      </w:pPr>
    </w:p>
    <w:bookmarkStart w:id="43" w:name="page44"/>
    <w:bookmarkEnd w:id="43"/>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324" w:lineRule="exact"/>
        <w:rPr>
          <w:sz w:val="20"/>
          <w:szCs w:val="20"/>
          <w:color w:val="auto"/>
        </w:rPr>
      </w:pPr>
    </w:p>
    <w:p>
      <w:pPr>
        <w:ind w:firstLine="289"/>
        <w:spacing w:after="0" w:line="284"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December 4, 2024</w:t>
      </w:r>
    </w:p>
    <w:p>
      <w:pPr>
        <w:spacing w:after="0" w:line="103" w:lineRule="exact"/>
        <w:rPr>
          <w:sz w:val="20"/>
          <w:szCs w:val="20"/>
          <w:color w:val="auto"/>
        </w:rPr>
      </w:pPr>
    </w:p>
    <w:tbl>
      <w:tblPr>
        <w:tblLayout w:type="fixed"/>
        <w:tblInd w:w="1660" w:type="dxa"/>
        <w:tblCellMar>
          <w:top w:w="0" w:type="dxa"/>
          <w:left w:w="0" w:type="dxa"/>
          <w:bottom w:w="0" w:type="dxa"/>
          <w:right w:w="0" w:type="dxa"/>
        </w:tblCellMar>
      </w:tblPr>
      <w:tr>
        <w:trPr>
          <w:trHeight w:val="211"/>
        </w:trPr>
        <w:tc>
          <w:tcPr>
            <w:tcW w:w="1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Symbotic Inc.</w:t>
            </w:r>
          </w:p>
        </w:tc>
        <w:tc>
          <w:tcPr>
            <w:tcW w:w="4980" w:type="dxa"/>
            <w:vAlign w:val="bottom"/>
          </w:tcPr>
          <w:p>
            <w:pPr>
              <w:spacing w:after="0"/>
              <w:rPr>
                <w:sz w:val="18"/>
                <w:szCs w:val="18"/>
                <w:color w:val="auto"/>
              </w:rPr>
            </w:pPr>
          </w:p>
        </w:tc>
      </w:tr>
      <w:tr>
        <w:trPr>
          <w:trHeight w:val="494"/>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Maria G. Freve</w:t>
            </w:r>
          </w:p>
        </w:tc>
      </w:tr>
      <w:tr>
        <w:trPr>
          <w:trHeight w:val="36"/>
        </w:trPr>
        <w:tc>
          <w:tcPr>
            <w:tcW w:w="1340" w:type="dxa"/>
            <w:vAlign w:val="bottom"/>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r>
      <w:tr>
        <w:trPr>
          <w:trHeight w:val="209"/>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Maria G. Freve</w:t>
            </w:r>
          </w:p>
        </w:tc>
      </w:tr>
      <w:tr>
        <w:trPr>
          <w:trHeight w:val="249"/>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Vice President, Controller and Chief Accounting Officer</w:t>
            </w:r>
          </w:p>
        </w:tc>
      </w:tr>
      <w:tr>
        <w:trPr>
          <w:trHeight w:val="209"/>
        </w:trPr>
        <w:tc>
          <w:tcPr>
            <w:tcW w:w="13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0920"/>
          </w:cols>
          <w:pgMar w:left="320" w:top="171" w:right="6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Richard B. Cohen, certify that: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10-Q/A for the fiscal quarter ended December 30, 2023 of Symbotic Inc.;</w:t>
      </w:r>
    </w:p>
    <w:p>
      <w:pPr>
        <w:spacing w:after="0" w:line="129"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sz w:val="20"/>
          <w:szCs w:val="20"/>
          <w:color w:val="auto"/>
        </w:rPr>
      </w:pPr>
    </w:p>
    <w:p>
      <w:pPr>
        <w:ind w:right="280"/>
        <w:spacing w:after="0" w:line="315"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sz w:val="20"/>
          <w:szCs w:val="20"/>
          <w:color w:val="auto"/>
        </w:rPr>
      </w:pPr>
    </w:p>
    <w:p>
      <w:pPr>
        <w:jc w:val="both"/>
        <w:ind w:left="580" w:right="260" w:hanging="294"/>
        <w:spacing w:after="0" w:line="283" w:lineRule="auto"/>
        <w:tabs>
          <w:tab w:leader="none" w:pos="57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Times New Roman" w:cs="Times New Roman" w:eastAsia="Times New Roman" w:hAnsi="Times New Roman"/>
          <w:sz w:val="16"/>
          <w:szCs w:val="16"/>
          <w:color w:val="auto"/>
        </w:rPr>
      </w:pPr>
    </w:p>
    <w:p>
      <w:pPr>
        <w:ind w:left="580" w:right="320" w:hanging="294"/>
        <w:spacing w:after="0" w:line="283"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Times New Roman" w:cs="Times New Roman" w:eastAsia="Times New Roman" w:hAnsi="Times New Roman"/>
          <w:sz w:val="16"/>
          <w:szCs w:val="16"/>
          <w:color w:val="auto"/>
        </w:rPr>
      </w:pPr>
    </w:p>
    <w:p>
      <w:pPr>
        <w:ind w:left="580" w:right="40" w:hanging="294"/>
        <w:spacing w:after="0" w:line="300" w:lineRule="auto"/>
        <w:tabs>
          <w:tab w:leader="none" w:pos="57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Times New Roman" w:cs="Times New Roman" w:eastAsia="Times New Roman" w:hAnsi="Times New Roman"/>
          <w:sz w:val="16"/>
          <w:szCs w:val="16"/>
          <w:color w:val="auto"/>
        </w:rPr>
      </w:pPr>
    </w:p>
    <w:p>
      <w:pPr>
        <w:ind w:left="580" w:right="20" w:hanging="294"/>
        <w:spacing w:after="0" w:line="291"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right="200"/>
        <w:spacing w:after="0" w:line="315"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left="580" w:right="260" w:hanging="294"/>
        <w:spacing w:after="0" w:line="300" w:lineRule="auto"/>
        <w:tabs>
          <w:tab w:leader="none" w:pos="57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Times New Roman" w:cs="Times New Roman" w:eastAsia="Times New Roman" w:hAnsi="Times New Roman"/>
          <w:sz w:val="16"/>
          <w:szCs w:val="16"/>
          <w:color w:val="auto"/>
        </w:rPr>
      </w:pPr>
    </w:p>
    <w:p>
      <w:pPr>
        <w:ind w:left="580" w:right="520" w:hanging="294"/>
        <w:spacing w:after="0" w:line="300"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60"/>
          </w:cols>
          <w:pgMar w:left="320" w:top="1278"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4, 2024</w:t>
            </w:r>
          </w:p>
        </w:tc>
        <w:tc>
          <w:tcPr>
            <w:tcW w:w="6940" w:type="dxa"/>
            <w:vAlign w:val="bottom"/>
            <w:gridSpan w:val="2"/>
          </w:tcPr>
          <w:p>
            <w:pPr>
              <w:ind w:left="2740"/>
              <w:spacing w:after="0"/>
              <w:rPr>
                <w:sz w:val="20"/>
                <w:szCs w:val="20"/>
                <w:color w:val="auto"/>
              </w:rPr>
            </w:pPr>
            <w:r>
              <w:rPr>
                <w:rFonts w:ascii="Times New Roman" w:cs="Times New Roman" w:eastAsia="Times New Roman" w:hAnsi="Times New Roman"/>
                <w:sz w:val="16"/>
                <w:szCs w:val="16"/>
                <w:color w:val="auto"/>
              </w:rPr>
              <w:t>By: /s/ Richard B. Cohen</w:t>
            </w:r>
          </w:p>
        </w:tc>
      </w:tr>
      <w:tr>
        <w:trPr>
          <w:trHeight w:val="193"/>
        </w:trPr>
        <w:tc>
          <w:tcPr>
            <w:tcW w:w="4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Richard B. Cohen</w:t>
            </w:r>
          </w:p>
        </w:tc>
      </w:tr>
      <w:tr>
        <w:trPr>
          <w:trHeight w:val="205"/>
        </w:trPr>
        <w:tc>
          <w:tcPr>
            <w:tcW w:w="43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209"/>
        </w:trPr>
        <w:tc>
          <w:tcPr>
            <w:tcW w:w="4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r>
    </w:tbl>
    <w:p>
      <w:pPr>
        <w:sectPr>
          <w:pgSz w:w="11900" w:h="16838" w:orient="portrait"/>
          <w:cols w:equalWidth="0" w:num="1">
            <w:col w:w="11240"/>
          </w:cols>
          <w:pgMar w:left="340" w:top="1316" w:right="3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Carol Hibbard, certify that: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10-Q/A for the fiscal quarter ended December 30, 2023 of Symbotic Inc.;</w:t>
      </w:r>
    </w:p>
    <w:p>
      <w:pPr>
        <w:spacing w:after="0" w:line="129"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sz w:val="20"/>
          <w:szCs w:val="20"/>
          <w:color w:val="auto"/>
        </w:rPr>
      </w:pPr>
    </w:p>
    <w:p>
      <w:pPr>
        <w:ind w:right="280"/>
        <w:spacing w:after="0" w:line="315"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sz w:val="20"/>
          <w:szCs w:val="20"/>
          <w:color w:val="auto"/>
        </w:rPr>
      </w:pPr>
    </w:p>
    <w:p>
      <w:pPr>
        <w:jc w:val="both"/>
        <w:ind w:left="580" w:right="280" w:hanging="294"/>
        <w:spacing w:after="0" w:line="283" w:lineRule="auto"/>
        <w:tabs>
          <w:tab w:leader="none" w:pos="57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Times New Roman" w:cs="Times New Roman" w:eastAsia="Times New Roman" w:hAnsi="Times New Roman"/>
          <w:sz w:val="16"/>
          <w:szCs w:val="16"/>
          <w:color w:val="auto"/>
        </w:rPr>
      </w:pPr>
    </w:p>
    <w:p>
      <w:pPr>
        <w:ind w:left="580" w:right="320" w:hanging="294"/>
        <w:spacing w:after="0" w:line="283"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Times New Roman" w:cs="Times New Roman" w:eastAsia="Times New Roman" w:hAnsi="Times New Roman"/>
          <w:sz w:val="16"/>
          <w:szCs w:val="16"/>
          <w:color w:val="auto"/>
        </w:rPr>
      </w:pPr>
    </w:p>
    <w:p>
      <w:pPr>
        <w:ind w:left="580" w:right="60" w:hanging="294"/>
        <w:spacing w:after="0" w:line="300" w:lineRule="auto"/>
        <w:tabs>
          <w:tab w:leader="none" w:pos="57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Times New Roman" w:cs="Times New Roman" w:eastAsia="Times New Roman" w:hAnsi="Times New Roman"/>
          <w:sz w:val="16"/>
          <w:szCs w:val="16"/>
          <w:color w:val="auto"/>
        </w:rPr>
      </w:pPr>
    </w:p>
    <w:p>
      <w:pPr>
        <w:ind w:left="580" w:right="20" w:hanging="294"/>
        <w:spacing w:after="0" w:line="291"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right="200"/>
        <w:spacing w:after="0" w:line="315"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left="580" w:right="260" w:hanging="294"/>
        <w:spacing w:after="0" w:line="300" w:lineRule="auto"/>
        <w:tabs>
          <w:tab w:leader="none" w:pos="57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Times New Roman" w:cs="Times New Roman" w:eastAsia="Times New Roman" w:hAnsi="Times New Roman"/>
          <w:sz w:val="16"/>
          <w:szCs w:val="16"/>
          <w:color w:val="auto"/>
        </w:rPr>
      </w:pPr>
    </w:p>
    <w:p>
      <w:pPr>
        <w:ind w:left="580" w:right="520" w:hanging="294"/>
        <w:spacing w:after="0" w:line="300" w:lineRule="auto"/>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60"/>
          </w:cols>
          <w:pgMar w:left="320" w:top="1278"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4, 2024</w:t>
            </w:r>
          </w:p>
        </w:tc>
        <w:tc>
          <w:tcPr>
            <w:tcW w:w="7200" w:type="dxa"/>
            <w:vAlign w:val="bottom"/>
            <w:gridSpan w:val="2"/>
          </w:tcPr>
          <w:p>
            <w:pPr>
              <w:ind w:left="2480"/>
              <w:spacing w:after="0"/>
              <w:rPr>
                <w:sz w:val="20"/>
                <w:szCs w:val="20"/>
                <w:color w:val="auto"/>
              </w:rPr>
            </w:pPr>
            <w:r>
              <w:rPr>
                <w:rFonts w:ascii="Times New Roman" w:cs="Times New Roman" w:eastAsia="Times New Roman" w:hAnsi="Times New Roman"/>
                <w:sz w:val="16"/>
                <w:szCs w:val="16"/>
                <w:color w:val="auto"/>
              </w:rPr>
              <w:t>By: /s/ Carol Hibbard</w:t>
            </w:r>
          </w:p>
        </w:tc>
      </w:tr>
      <w:tr>
        <w:trPr>
          <w:trHeight w:val="193"/>
        </w:trPr>
        <w:tc>
          <w:tcPr>
            <w:tcW w:w="40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Carol Hibbard</w:t>
            </w:r>
          </w:p>
        </w:tc>
      </w:tr>
      <w:tr>
        <w:trPr>
          <w:trHeight w:val="205"/>
        </w:trPr>
        <w:tc>
          <w:tcPr>
            <w:tcW w:w="40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and Treasurer</w:t>
            </w:r>
          </w:p>
        </w:tc>
      </w:tr>
      <w:tr>
        <w:trPr>
          <w:trHeight w:val="209"/>
        </w:trPr>
        <w:tc>
          <w:tcPr>
            <w:tcW w:w="40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r>
    </w:tbl>
    <w:p>
      <w:pPr>
        <w:sectPr>
          <w:pgSz w:w="11900" w:h="16838" w:orient="portrait"/>
          <w:cols w:equalWidth="0" w:num="1">
            <w:col w:w="11240"/>
          </w:cols>
          <w:pgMar w:left="340" w:top="1316" w:right="31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21" w:lineRule="exact"/>
        <w:rPr>
          <w:sz w:val="20"/>
          <w:szCs w:val="20"/>
          <w:color w:val="auto"/>
        </w:rPr>
      </w:pPr>
    </w:p>
    <w:p>
      <w:pPr>
        <w:jc w:val="both"/>
        <w:ind w:right="140"/>
        <w:spacing w:after="0" w:line="291" w:lineRule="auto"/>
        <w:rPr>
          <w:sz w:val="20"/>
          <w:szCs w:val="20"/>
          <w:color w:val="auto"/>
        </w:rPr>
      </w:pPr>
      <w:r>
        <w:rPr>
          <w:rFonts w:ascii="Times New Roman" w:cs="Times New Roman" w:eastAsia="Times New Roman" w:hAnsi="Times New Roman"/>
          <w:sz w:val="16"/>
          <w:szCs w:val="16"/>
          <w:color w:val="auto"/>
        </w:rPr>
        <w:t>In connection with the Quarterly Report on Form 10-Q/A of Symbotic Inc. (the “Company”) for the fiscal quarter ended December 30, 2023, as filed with the Securities and Exchange Commission on the date hereof (the “Report”), I, Richard B. Cohen, Chairman and Chief Executive Officer of the Company, certify, pursuant to 18 U.S.C. Section 1350, as adopted pursuant to Section 906 of the Sarbanes-Oxley Act of 2002, that, to my knowledge: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Report fully complies with the requirements of Section 13(a) or 15(d) of the Securities Exchange Act of 1934; 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4, 2024</w:t>
            </w:r>
          </w:p>
        </w:tc>
        <w:tc>
          <w:tcPr>
            <w:tcW w:w="6940" w:type="dxa"/>
            <w:vAlign w:val="bottom"/>
            <w:gridSpan w:val="2"/>
          </w:tcPr>
          <w:p>
            <w:pPr>
              <w:ind w:left="2740"/>
              <w:spacing w:after="0"/>
              <w:rPr>
                <w:sz w:val="20"/>
                <w:szCs w:val="20"/>
                <w:color w:val="auto"/>
              </w:rPr>
            </w:pPr>
            <w:r>
              <w:rPr>
                <w:rFonts w:ascii="Times New Roman" w:cs="Times New Roman" w:eastAsia="Times New Roman" w:hAnsi="Times New Roman"/>
                <w:sz w:val="16"/>
                <w:szCs w:val="16"/>
                <w:color w:val="auto"/>
              </w:rPr>
              <w:t>By: /s/ Richard B. Cohen</w:t>
            </w:r>
          </w:p>
        </w:tc>
      </w:tr>
      <w:tr>
        <w:trPr>
          <w:trHeight w:val="193"/>
        </w:trPr>
        <w:tc>
          <w:tcPr>
            <w:tcW w:w="4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Richard B. Cohen</w:t>
            </w:r>
          </w:p>
        </w:tc>
      </w:tr>
      <w:tr>
        <w:trPr>
          <w:trHeight w:val="205"/>
        </w:trPr>
        <w:tc>
          <w:tcPr>
            <w:tcW w:w="43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209"/>
        </w:trPr>
        <w:tc>
          <w:tcPr>
            <w:tcW w:w="4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60"/>
          </w:cols>
          <w:pgMar w:left="320" w:top="1278" w:right="3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 PURSUANT TO</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21"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In connection with the Quarterly Report on Form 10-Q/A of Symbotic Inc. (the “Company”) for the fiscal quarter ended December 30, 2023, as filed with the Securities and Exchange Commission on the date hereof (the “Report”), I, Carol Hibbard, Chief Financial Officer and Treasurer of the Company, certify, pursuant to 18 U.S.C. Section 1350, as adopted pursuant to Section 906 of the Sarbanes-Oxley Act of 2002, that, to my knowledge: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Report fully complies with the requirements of Section 13(a) or 15(d) of the Securities Exchange Act of 1934; 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4, 2024</w:t>
            </w:r>
          </w:p>
        </w:tc>
        <w:tc>
          <w:tcPr>
            <w:tcW w:w="7200" w:type="dxa"/>
            <w:vAlign w:val="bottom"/>
            <w:gridSpan w:val="2"/>
          </w:tcPr>
          <w:p>
            <w:pPr>
              <w:ind w:left="2480"/>
              <w:spacing w:after="0"/>
              <w:rPr>
                <w:sz w:val="20"/>
                <w:szCs w:val="20"/>
                <w:color w:val="auto"/>
              </w:rPr>
            </w:pPr>
            <w:r>
              <w:rPr>
                <w:rFonts w:ascii="Times New Roman" w:cs="Times New Roman" w:eastAsia="Times New Roman" w:hAnsi="Times New Roman"/>
                <w:sz w:val="16"/>
                <w:szCs w:val="16"/>
                <w:color w:val="auto"/>
              </w:rPr>
              <w:t>By: /s/ Carol Hibbard</w:t>
            </w:r>
          </w:p>
        </w:tc>
      </w:tr>
      <w:tr>
        <w:trPr>
          <w:trHeight w:val="193"/>
        </w:trPr>
        <w:tc>
          <w:tcPr>
            <w:tcW w:w="40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Carol Hibbard</w:t>
            </w:r>
          </w:p>
        </w:tc>
      </w:tr>
      <w:tr>
        <w:trPr>
          <w:trHeight w:val="205"/>
        </w:trPr>
        <w:tc>
          <w:tcPr>
            <w:tcW w:w="40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and Treasurer</w:t>
            </w:r>
          </w:p>
        </w:tc>
      </w:tr>
      <w:tr>
        <w:trPr>
          <w:trHeight w:val="209"/>
        </w:trPr>
        <w:tc>
          <w:tcPr>
            <w:tcW w:w="40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60"/>
      </w:cols>
      <w:pgMar w:left="320" w:top="127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2"/>
      <w:numFmt w:val="decimal"/>
      <w:start w:val="104"/>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6" Type="http://schemas.openxmlformats.org/officeDocument/2006/relationships/hyperlink" Target="https://www.sec.gov/Archives/edgar/data/1837240/000183724024000039/exhibit101-walterodishoof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2024-12-04T15:27:28Z</dcterms:created>
  <dcterms:modified xsi:type="dcterms:W3CDTF">2024-12-04T15:27:28Z</dcterms:modified>
</cp:coreProperties>
</file>