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20156.xml.htm"/>
      <w:bookmarkStart w:id="1" w:name="kswkform4_17914201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KRASNOW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3"/>
        <w:gridCol w:w="918"/>
        <w:gridCol w:w="786"/>
        <w:gridCol w:w="662"/>
        <w:gridCol w:w="293"/>
        <w:gridCol w:w="832"/>
        <w:gridCol w:w="439"/>
        <w:gridCol w:w="987"/>
        <w:gridCol w:w="1144"/>
        <w:gridCol w:w="986"/>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524,002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42.6739</w:t>
            </w:r>
            <w:r>
              <w:rPr>
                <w:rFonts w:ascii="Times;serif" w:hAnsi="Times;serif"/>
                <w:color w:val="008000"/>
                <w:position w:val="7"/>
                <w:sz w:val="16"/>
                <w:sz w:val="20"/>
                <w:shd w:fill="FFFFFF" w:val="clear"/>
              </w:rPr>
              <w:t>(6)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43.03</w:t>
            </w:r>
            <w:r>
              <w:rPr>
                <w:rFonts w:ascii="Times;serif" w:hAnsi="Times;serif"/>
                <w:color w:val="008000"/>
                <w:position w:val="7"/>
                <w:sz w:val="16"/>
                <w:sz w:val="20"/>
                <w:shd w:fill="FFFFFF" w:val="clear"/>
              </w:rPr>
              <w:t>(7)</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(9)(10)</w:t>
            </w:r>
          </w:p>
        </w:tc>
      </w:tr>
    </w:tbl>
    <w:tbl>
      <w:tblPr>
        <w:tblW w:w="1216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92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524,002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Inlet View, Inc.</w:t>
            </w:r>
            <w:r>
              <w:rPr>
                <w:rFonts w:ascii="Times;serif" w:hAnsi="Times;serif"/>
                <w:color w:val="008000"/>
                <w:position w:val="7"/>
                <w:sz w:val="16"/>
                <w:sz w:val="20"/>
                <w:shd w:fill="FFFFFF" w:val="clear"/>
              </w:rPr>
              <w:t>(4)</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(9)(10)</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5,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October 5,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Todd Krasnow may be considered the beneficial owner of securities held by Inlet View, Inc., of which Mr. Krasnow is the President and CEO.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pursuant to a trading plan entered into by the Reporting Person on Decmeber 8,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accordance with SEC guidance authorizing aggregate reporting of same-day purchases and sales, the shares were sold in multiple transactions at prices ranging from $41.965 to $42.945,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accordance with SEC guidance authorizing aggregate reporting of same-day purchases and sales, the shares were sold in multiple transactions at prices ranging from $42.965 to $43.185,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Todd Krasnow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6378"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1446</Words>
  <Characters>7673</Characters>
  <CharactersWithSpaces>8974</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