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0001526378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Symbotic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001-40175</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1-978-284-2800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Todd Krasnow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A Shares</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6000</w:t>
            </w:r>
          </w:p>
        </w:tc>
        <w:tc>
          <w:tcPr>
            <w:tcW w:w="1391" w:type="dxa"/>
            <w:tcBorders/>
            <w:vAlign w:val="center"/>
          </w:tcPr>
          <w:p>
            <w:pPr>
              <w:pStyle w:val="TableContents"/>
              <w:bidi w:val="0"/>
              <w:spacing w:before="0" w:after="283"/>
              <w:jc w:val="left"/>
              <w:rPr/>
            </w:pPr>
            <w:r>
              <w:rPr/>
              <w:t>259800</w:t>
            </w:r>
          </w:p>
        </w:tc>
        <w:tc>
          <w:tcPr>
            <w:tcW w:w="1565" w:type="dxa"/>
            <w:tcBorders/>
            <w:vAlign w:val="center"/>
          </w:tcPr>
          <w:p>
            <w:pPr>
              <w:pStyle w:val="TableContents"/>
              <w:bidi w:val="0"/>
              <w:spacing w:before="0" w:after="283"/>
              <w:jc w:val="left"/>
              <w:rPr/>
            </w:pPr>
            <w:r>
              <w:rPr/>
              <w:t>129873381</w:t>
            </w:r>
          </w:p>
        </w:tc>
        <w:tc>
          <w:tcPr>
            <w:tcW w:w="1574" w:type="dxa"/>
            <w:tcBorders/>
            <w:vAlign w:val="center"/>
          </w:tcPr>
          <w:p>
            <w:pPr>
              <w:pStyle w:val="TableContents"/>
              <w:bidi w:val="0"/>
              <w:spacing w:before="0" w:after="283"/>
              <w:jc w:val="left"/>
              <w:rPr/>
            </w:pPr>
            <w:r>
              <w:rPr/>
              <w:t>09/08/2026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A Shares</w:t>
            </w:r>
          </w:p>
        </w:tc>
        <w:tc>
          <w:tcPr>
            <w:tcW w:w="1136" w:type="dxa"/>
            <w:tcBorders/>
            <w:vAlign w:val="center"/>
          </w:tcPr>
          <w:p>
            <w:pPr>
              <w:pStyle w:val="TableContents"/>
              <w:bidi w:val="0"/>
              <w:spacing w:before="0" w:after="283"/>
              <w:jc w:val="left"/>
              <w:rPr/>
            </w:pPr>
            <w:r>
              <w:rPr/>
              <w:t>05/05/2022</w:t>
            </w:r>
          </w:p>
        </w:tc>
        <w:tc>
          <w:tcPr>
            <w:tcW w:w="1505" w:type="dxa"/>
            <w:tcBorders/>
            <w:vAlign w:val="center"/>
          </w:tcPr>
          <w:p>
            <w:pPr>
              <w:pStyle w:val="TableContents"/>
              <w:bidi w:val="0"/>
              <w:spacing w:before="0" w:after="283"/>
              <w:jc w:val="left"/>
              <w:rPr/>
            </w:pPr>
            <w:r>
              <w:rPr/>
              <w:t>Acquired from issuer in public offering</w:t>
            </w:r>
          </w:p>
        </w:tc>
        <w:tc>
          <w:tcPr>
            <w:tcW w:w="1218" w:type="dxa"/>
            <w:tcBorders/>
            <w:vAlign w:val="center"/>
          </w:tcPr>
          <w:p>
            <w:pPr>
              <w:pStyle w:val="TableContents"/>
              <w:bidi w:val="0"/>
              <w:spacing w:before="0" w:after="283"/>
              <w:jc w:val="left"/>
              <w:rPr/>
            </w:pPr>
            <w:r>
              <w:rPr/>
              <w:t>The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05/05/2022</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Inlet View, Inc.</w:t>
              <w:br/>
              <w:t>200 Research Drive</w:t>
              <w:br/>
              <w:t>Wilmington   MA   01887</w:t>
            </w:r>
          </w:p>
        </w:tc>
        <w:tc>
          <w:tcPr>
            <w:tcW w:w="2946" w:type="dxa"/>
            <w:tcBorders/>
            <w:vAlign w:val="center"/>
          </w:tcPr>
          <w:p>
            <w:pPr>
              <w:pStyle w:val="TableContents"/>
              <w:bidi w:val="0"/>
              <w:spacing w:before="0" w:after="283"/>
              <w:jc w:val="left"/>
              <w:rPr/>
            </w:pPr>
            <w:r>
              <w:rPr/>
              <w:t>Common A Shares</w:t>
            </w:r>
          </w:p>
        </w:tc>
        <w:tc>
          <w:tcPr>
            <w:tcW w:w="945" w:type="dxa"/>
            <w:tcBorders/>
            <w:vAlign w:val="center"/>
          </w:tcPr>
          <w:p>
            <w:pPr>
              <w:pStyle w:val="TableContents"/>
              <w:bidi w:val="0"/>
              <w:spacing w:before="0" w:after="283"/>
              <w:jc w:val="left"/>
              <w:rPr/>
            </w:pPr>
            <w:r>
              <w:rPr/>
              <w:t>08/03/2026</w:t>
            </w:r>
          </w:p>
        </w:tc>
        <w:tc>
          <w:tcPr>
            <w:tcW w:w="1563" w:type="dxa"/>
            <w:tcBorders/>
            <w:vAlign w:val="center"/>
          </w:tcPr>
          <w:p>
            <w:pPr>
              <w:pStyle w:val="TableContents"/>
              <w:bidi w:val="0"/>
              <w:spacing w:before="0" w:after="283"/>
              <w:jc w:val="left"/>
              <w:rPr/>
            </w:pPr>
            <w:r>
              <w:rPr/>
              <w:t>2000</w:t>
            </w:r>
          </w:p>
        </w:tc>
        <w:tc>
          <w:tcPr>
            <w:tcW w:w="1687" w:type="dxa"/>
            <w:tcBorders/>
            <w:vAlign w:val="center"/>
          </w:tcPr>
          <w:p>
            <w:pPr>
              <w:pStyle w:val="TableContents"/>
              <w:bidi w:val="0"/>
              <w:spacing w:before="0" w:after="283"/>
              <w:jc w:val="left"/>
              <w:rPr/>
            </w:pPr>
            <w:r>
              <w:rPr/>
              <w:t>90537.6</w:t>
            </w:r>
          </w:p>
        </w:tc>
      </w:tr>
      <w:tr>
        <w:trPr/>
        <w:tc>
          <w:tcPr>
            <w:tcW w:w="3064" w:type="dxa"/>
            <w:tcBorders/>
            <w:vAlign w:val="center"/>
          </w:tcPr>
          <w:p>
            <w:pPr>
              <w:pStyle w:val="TableContents"/>
              <w:bidi w:val="0"/>
              <w:spacing w:before="0" w:after="283"/>
              <w:jc w:val="left"/>
              <w:rPr/>
            </w:pPr>
            <w:r>
              <w:rPr/>
              <w:t>Inlet View, Inc.</w:t>
              <w:br/>
              <w:t>200 Research Drive</w:t>
              <w:br/>
              <w:t>Wilmington   MA   01887</w:t>
            </w:r>
          </w:p>
        </w:tc>
        <w:tc>
          <w:tcPr>
            <w:tcW w:w="2946" w:type="dxa"/>
            <w:tcBorders/>
            <w:vAlign w:val="center"/>
          </w:tcPr>
          <w:p>
            <w:pPr>
              <w:pStyle w:val="TableContents"/>
              <w:bidi w:val="0"/>
              <w:spacing w:before="0" w:after="283"/>
              <w:jc w:val="left"/>
              <w:rPr/>
            </w:pPr>
            <w:r>
              <w:rPr/>
              <w:t>Common A Shares</w:t>
            </w:r>
          </w:p>
        </w:tc>
        <w:tc>
          <w:tcPr>
            <w:tcW w:w="945" w:type="dxa"/>
            <w:tcBorders/>
            <w:vAlign w:val="center"/>
          </w:tcPr>
          <w:p>
            <w:pPr>
              <w:pStyle w:val="TableContents"/>
              <w:bidi w:val="0"/>
              <w:spacing w:before="0" w:after="283"/>
              <w:jc w:val="left"/>
              <w:rPr/>
            </w:pPr>
            <w:r>
              <w:rPr/>
              <w:t>07/07/2026</w:t>
            </w:r>
          </w:p>
        </w:tc>
        <w:tc>
          <w:tcPr>
            <w:tcW w:w="1563" w:type="dxa"/>
            <w:tcBorders/>
            <w:vAlign w:val="center"/>
          </w:tcPr>
          <w:p>
            <w:pPr>
              <w:pStyle w:val="TableContents"/>
              <w:bidi w:val="0"/>
              <w:spacing w:before="0" w:after="283"/>
              <w:jc w:val="left"/>
              <w:rPr/>
            </w:pPr>
            <w:r>
              <w:rPr/>
              <w:t>2000</w:t>
            </w:r>
          </w:p>
        </w:tc>
        <w:tc>
          <w:tcPr>
            <w:tcW w:w="1687" w:type="dxa"/>
            <w:tcBorders/>
            <w:vAlign w:val="center"/>
          </w:tcPr>
          <w:p>
            <w:pPr>
              <w:pStyle w:val="TableContents"/>
              <w:bidi w:val="0"/>
              <w:spacing w:before="0" w:after="283"/>
              <w:jc w:val="left"/>
              <w:rPr/>
            </w:pPr>
            <w:r>
              <w:rPr/>
              <w:t>87741.19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439"/>
        <w:gridCol w:w="6766"/>
      </w:tblGrid>
      <w:tr>
        <w:trPr/>
        <w:tc>
          <w:tcPr>
            <w:tcW w:w="3439" w:type="dxa"/>
            <w:tcBorders/>
            <w:vAlign w:val="center"/>
          </w:tcPr>
          <w:p>
            <w:pPr>
              <w:pStyle w:val="TableContents"/>
              <w:bidi w:val="0"/>
              <w:spacing w:before="0" w:after="283"/>
              <w:jc w:val="left"/>
              <w:rPr/>
            </w:pPr>
            <w:r>
              <w:rPr/>
              <w:t>Remarks</w:t>
            </w:r>
          </w:p>
        </w:tc>
        <w:tc>
          <w:tcPr>
            <w:tcW w:w="6766" w:type="dxa"/>
            <w:tcBorders/>
            <w:vAlign w:val="center"/>
          </w:tcPr>
          <w:p>
            <w:pPr>
              <w:pStyle w:val="TableContents"/>
              <w:bidi w:val="0"/>
              <w:spacing w:before="0" w:after="0"/>
              <w:jc w:val="left"/>
              <w:rPr/>
            </w:pPr>
            <w:r>
              <w:rPr/>
              <w:t>The sales of shares set forth herein are made in connection with a selling plan dated 12/08/2025 that is intended to comply with 10b5-1 (c). All shares to be sold by Inlet View, Inc.</w:t>
            </w:r>
          </w:p>
        </w:tc>
      </w:tr>
      <w:tr>
        <w:trPr/>
        <w:tc>
          <w:tcPr>
            <w:tcW w:w="3439" w:type="dxa"/>
            <w:tcBorders/>
            <w:vAlign w:val="center"/>
          </w:tcPr>
          <w:p>
            <w:pPr>
              <w:pStyle w:val="TableContents"/>
              <w:bidi w:val="0"/>
              <w:spacing w:before="0" w:after="283"/>
              <w:jc w:val="left"/>
              <w:rPr/>
            </w:pPr>
            <w:r>
              <w:rPr/>
              <w:t>Date of Notice</w:t>
            </w:r>
          </w:p>
        </w:tc>
        <w:tc>
          <w:tcPr>
            <w:tcW w:w="6766" w:type="dxa"/>
            <w:tcBorders/>
            <w:vAlign w:val="center"/>
          </w:tcPr>
          <w:p>
            <w:pPr>
              <w:pStyle w:val="TableContents"/>
              <w:bidi w:val="0"/>
              <w:spacing w:before="0" w:after="0"/>
              <w:jc w:val="left"/>
              <w:rPr/>
            </w:pPr>
            <w:r>
              <w:rPr/>
              <w:t>09/08/2026</w:t>
            </w:r>
          </w:p>
        </w:tc>
      </w:tr>
      <w:tr>
        <w:trPr/>
        <w:tc>
          <w:tcPr>
            <w:tcW w:w="3439" w:type="dxa"/>
            <w:tcBorders/>
            <w:vAlign w:val="center"/>
          </w:tcPr>
          <w:p>
            <w:pPr>
              <w:pStyle w:val="TableContents"/>
              <w:bidi w:val="0"/>
              <w:spacing w:before="0" w:after="283"/>
              <w:jc w:val="left"/>
              <w:rPr/>
            </w:pPr>
            <w:r>
              <w:rPr/>
              <w:t>Date of Plan Adoption or Giving of Instruction, If Relying on Rule 10b5-1</w:t>
            </w:r>
          </w:p>
        </w:tc>
        <w:tc>
          <w:tcPr>
            <w:tcW w:w="6766" w:type="dxa"/>
            <w:tcBorders/>
            <w:vAlign w:val="center"/>
          </w:tcPr>
          <w:p>
            <w:pPr>
              <w:pStyle w:val="TableContents"/>
              <w:bidi w:val="0"/>
              <w:spacing w:before="0" w:after="0"/>
              <w:jc w:val="left"/>
              <w:rPr/>
            </w:pPr>
            <w:r>
              <w:rPr/>
              <w:t>12/08/2025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39" w:type="dxa"/>
            <w:tcBorders/>
            <w:vAlign w:val="center"/>
          </w:tcPr>
          <w:p>
            <w:pPr>
              <w:pStyle w:val="TableContents"/>
              <w:bidi w:val="0"/>
              <w:spacing w:before="0" w:after="283"/>
              <w:jc w:val="left"/>
              <w:rPr/>
            </w:pPr>
            <w:r>
              <w:rPr/>
              <w:t>Signature</w:t>
            </w:r>
          </w:p>
        </w:tc>
        <w:tc>
          <w:tcPr>
            <w:tcW w:w="6766" w:type="dxa"/>
            <w:tcBorders/>
            <w:vAlign w:val="center"/>
          </w:tcPr>
          <w:p>
            <w:pPr>
              <w:pStyle w:val="TableContents"/>
              <w:bidi w:val="0"/>
              <w:spacing w:before="0" w:after="0"/>
              <w:jc w:val="left"/>
              <w:rPr/>
            </w:pPr>
            <w:r>
              <w:rPr/>
              <w:t>Goldman Sachs &amp; Co. LLC on behalf of Todd Krasnow</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3366</Characters>
  <CharactersWithSpaces>3980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