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7"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280" w:type="dxa"/>
            <w:vAlign w:val="bottom"/>
          </w:tcPr>
          <w:p>
            <w:pPr>
              <w:jc w:val="center"/>
              <w:ind w:right="13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3981450</wp:posOffset>
            </wp:positionH>
            <wp:positionV relativeFrom="paragraph">
              <wp:posOffset>-627380</wp:posOffset>
            </wp:positionV>
            <wp:extent cx="58420" cy="640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745490</wp:posOffset>
            </wp:positionV>
            <wp:extent cx="6993255" cy="5269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269865"/>
                    </a:xfrm>
                    <a:prstGeom prst="rect">
                      <a:avLst/>
                    </a:prstGeom>
                    <a:noFill/>
                  </pic:spPr>
                </pic:pic>
              </a:graphicData>
            </a:graphic>
          </wp:anchor>
        </w:drawing>
      </w:r>
    </w:p>
    <w:p>
      <w:pPr>
        <w:spacing w:after="0" w:line="1185" w:lineRule="exact"/>
        <w:rPr>
          <w:sz w:val="24"/>
          <w:szCs w:val="24"/>
          <w:color w:val="auto"/>
        </w:rPr>
      </w:pPr>
    </w:p>
    <w:p>
      <w:pPr>
        <w:sectPr>
          <w:pgSz w:w="11900" w:h="16838" w:orient="portrait"/>
          <w:cols w:equalWidth="0" w:num="2">
            <w:col w:w="2340" w:space="240"/>
            <w:col w:w="8500"/>
          </w:cols>
          <w:pgMar w:left="460" w:top="218" w:right="359" w:bottom="1043"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280" w:type="dxa"/>
            <w:vAlign w:val="bottom"/>
            <w:gridSpan w:val="3"/>
          </w:tcPr>
          <w:p>
            <w:pPr>
              <w:ind w:left="14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KANE CHARLES</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3"/>
          </w:tcPr>
          <w:p>
            <w:pPr>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Symbotic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SYM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4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020" w:type="dxa"/>
            <w:vAlign w:val="bottom"/>
            <w:tcBorders>
              <w:top w:val="single" w:sz="8" w:color="0000EE"/>
            </w:tcBorders>
          </w:tcPr>
          <w:p>
            <w:pPr>
              <w:spacing w:after="0"/>
              <w:rPr>
                <w:sz w:val="5"/>
                <w:szCs w:val="5"/>
                <w:color w:val="auto"/>
              </w:rPr>
            </w:pPr>
          </w:p>
        </w:tc>
        <w:tc>
          <w:tcPr>
            <w:tcW w:w="2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020" w:type="dxa"/>
            <w:vAlign w:val="bottom"/>
            <w:tcBorders>
              <w:bottom w:val="single" w:sz="8" w:color="2C2C2C"/>
            </w:tcBorders>
          </w:tcPr>
          <w:p>
            <w:pPr>
              <w:spacing w:after="0"/>
              <w:rPr>
                <w:sz w:val="15"/>
                <w:szCs w:val="15"/>
                <w:color w:val="auto"/>
              </w:rPr>
            </w:pPr>
          </w:p>
        </w:tc>
        <w:tc>
          <w:tcPr>
            <w:tcW w:w="260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0" w:type="dxa"/>
            <w:vAlign w:val="bottom"/>
            <w:tcBorders>
              <w:top w:val="single" w:sz="8" w:color="EEEEEE"/>
            </w:tcBorders>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40"/>
              <w:spacing w:after="0" w:line="141" w:lineRule="exact"/>
              <w:rPr>
                <w:sz w:val="20"/>
                <w:szCs w:val="20"/>
                <w:color w:val="auto"/>
              </w:rPr>
            </w:pPr>
            <w:r>
              <w:rPr>
                <w:rFonts w:ascii="Arial" w:cs="Arial" w:eastAsia="Arial" w:hAnsi="Arial"/>
                <w:sz w:val="13"/>
                <w:szCs w:val="13"/>
                <w:color w:val="auto"/>
              </w:rPr>
              <w:t>3.</w:t>
            </w:r>
          </w:p>
        </w:tc>
        <w:tc>
          <w:tcPr>
            <w:tcW w:w="3620" w:type="dxa"/>
            <w:vAlign w:val="bottom"/>
            <w:gridSpan w:val="2"/>
          </w:tcPr>
          <w:p>
            <w:pPr>
              <w:ind w:left="20"/>
              <w:spacing w:after="0" w:line="141"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1300" w:type="dxa"/>
            <w:vAlign w:val="bottom"/>
            <w:gridSpan w:val="4"/>
          </w:tcPr>
          <w:p>
            <w:pPr>
              <w:ind w:left="140"/>
              <w:spacing w:after="0"/>
              <w:rPr>
                <w:sz w:val="20"/>
                <w:szCs w:val="20"/>
                <w:color w:val="auto"/>
              </w:rPr>
            </w:pPr>
            <w:r>
              <w:rPr>
                <w:rFonts w:ascii="Times New Roman" w:cs="Times New Roman" w:eastAsia="Times New Roman" w:hAnsi="Times New Roman"/>
                <w:sz w:val="17"/>
                <w:szCs w:val="17"/>
                <w:color w:val="0000FF"/>
              </w:rPr>
              <w:t>06/01/2026</w:t>
            </w: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C/O SYMBOTIC INC., 200 RESEARCH DRIVE</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8" w:right="620" w:hanging="8"/>
        <w:spacing w:after="0" w:line="259" w:lineRule="auto"/>
        <w:tabs>
          <w:tab w:leader="none" w:pos="15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0"/>
          <w:szCs w:val="20"/>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0"/>
          <w:szCs w:val="20"/>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7" w:lineRule="exact"/>
        <w:rPr>
          <w:sz w:val="20"/>
          <w:szCs w:val="20"/>
          <w:color w:val="auto"/>
        </w:rPr>
      </w:pPr>
    </w:p>
    <w:p>
      <w:pPr>
        <w:sectPr>
          <w:pgSz w:w="11900" w:h="16838" w:orient="portrait"/>
          <w:cols w:equalWidth="0" w:num="2">
            <w:col w:w="7660" w:space="72"/>
            <w:col w:w="3348"/>
          </w:cols>
          <w:pgMar w:left="460" w:top="218" w:right="359" w:bottom="1043" w:gutter="0" w:footer="0" w:header="0"/>
          <w:type w:val="continuous"/>
        </w:sectPr>
      </w:pPr>
    </w:p>
    <w:p>
      <w:pPr>
        <w:spacing w:after="0" w:line="232"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WILMINGTON</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01887</w:t>
            </w:r>
          </w:p>
        </w:tc>
      </w:tr>
      <w:tr>
        <w:trPr>
          <w:trHeight w:val="150"/>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60" w:type="dxa"/>
            <w:vAlign w:val="bottom"/>
          </w:tcPr>
          <w:p>
            <w:pPr>
              <w:ind w:left="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0"/>
          <w:szCs w:val="20"/>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5"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4" w:lineRule="exact"/>
        <w:rPr>
          <w:sz w:val="20"/>
          <w:szCs w:val="20"/>
          <w:color w:val="auto"/>
        </w:rPr>
      </w:pPr>
    </w:p>
    <w:p>
      <w:pPr>
        <w:sectPr>
          <w:pgSz w:w="11900" w:h="16838" w:orient="portrait"/>
          <w:cols w:equalWidth="0" w:num="2">
            <w:col w:w="3760" w:space="140"/>
            <w:col w:w="7180"/>
          </w:cols>
          <w:pgMar w:left="460" w:top="218" w:right="359" w:bottom="104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2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6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3"/>
                <w:szCs w:val="13"/>
                <w:color w:val="auto"/>
              </w:rPr>
            </w:pPr>
          </w:p>
        </w:tc>
        <w:tc>
          <w:tcPr>
            <w:tcW w:w="1940" w:type="dxa"/>
            <w:vAlign w:val="bottom"/>
            <w:gridSpan w:val="4"/>
          </w:tcPr>
          <w:p>
            <w:pPr>
              <w:ind w:left="18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60"/>
              <w:spacing w:after="0" w:line="129" w:lineRule="exact"/>
              <w:rPr>
                <w:sz w:val="20"/>
                <w:szCs w:val="20"/>
                <w:color w:val="auto"/>
              </w:rPr>
            </w:pPr>
            <w:r>
              <w:rPr>
                <w:rFonts w:ascii="Arial" w:cs="Arial" w:eastAsia="Arial" w:hAnsi="Arial"/>
                <w:sz w:val="12"/>
                <w:szCs w:val="12"/>
                <w:b w:val="1"/>
                <w:bCs w:val="1"/>
                <w:color w:val="auto"/>
              </w:rPr>
              <w:t>Date</w:t>
            </w:r>
          </w:p>
        </w:tc>
        <w:tc>
          <w:tcPr>
            <w:tcW w:w="520" w:type="dxa"/>
            <w:vAlign w:val="bottom"/>
          </w:tcPr>
          <w:p>
            <w:pPr>
              <w:spacing w:after="0"/>
              <w:rPr>
                <w:sz w:val="11"/>
                <w:szCs w:val="11"/>
                <w:color w:val="auto"/>
              </w:rPr>
            </w:pPr>
          </w:p>
        </w:tc>
        <w:tc>
          <w:tcPr>
            <w:tcW w:w="10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80"/>
              <w:spacing w:after="0" w:line="129" w:lineRule="exact"/>
              <w:rPr>
                <w:sz w:val="20"/>
                <w:szCs w:val="20"/>
                <w:color w:val="auto"/>
              </w:rPr>
            </w:pPr>
            <w:r>
              <w:rPr>
                <w:rFonts w:ascii="Arial" w:cs="Arial" w:eastAsia="Arial" w:hAnsi="Arial"/>
                <w:sz w:val="12"/>
                <w:szCs w:val="12"/>
                <w:b w:val="1"/>
                <w:bCs w:val="1"/>
                <w:color w:val="auto"/>
                <w:w w:val="99"/>
              </w:rPr>
              <w:t>Disposed Of (D) (Instr. 3, 4 and</w:t>
            </w:r>
          </w:p>
        </w:tc>
        <w:tc>
          <w:tcPr>
            <w:tcW w:w="1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20" w:type="dxa"/>
            <w:vAlign w:val="bottom"/>
            <w:gridSpan w:val="2"/>
          </w:tcPr>
          <w:p>
            <w:pPr>
              <w:ind w:left="56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1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jc w:val="right"/>
              <w:ind w:right="155"/>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V-1 Common Stock</w:t>
            </w:r>
            <w:r>
              <w:rPr>
                <w:rFonts w:ascii="Times New Roman" w:cs="Times New Roman" w:eastAsia="Times New Roman" w:hAnsi="Times New Roman"/>
                <w:sz w:val="21"/>
                <w:szCs w:val="21"/>
                <w:color w:val="008000"/>
                <w:vertAlign w:val="superscript"/>
              </w:rPr>
              <w:t>(1)(2)</w:t>
            </w:r>
          </w:p>
        </w:tc>
        <w:tc>
          <w:tcPr>
            <w:tcW w:w="162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06/01/2026</w:t>
            </w:r>
          </w:p>
        </w:tc>
        <w:tc>
          <w:tcPr>
            <w:tcW w:w="2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J</w:t>
            </w:r>
            <w:r>
              <w:rPr>
                <w:rFonts w:ascii="Times New Roman" w:cs="Times New Roman" w:eastAsia="Times New Roman" w:hAnsi="Times New Roman"/>
                <w:sz w:val="11"/>
                <w:szCs w:val="11"/>
                <w:color w:val="008000"/>
              </w:rPr>
              <w:t>(1)(2)(3)</w:t>
            </w:r>
          </w:p>
        </w:tc>
        <w:tc>
          <w:tcPr>
            <w:tcW w:w="1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9"/>
              </w:rPr>
              <w:t>2,000</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ind w:left="98"/>
              <w:spacing w:after="0"/>
              <w:rPr>
                <w:sz w:val="20"/>
                <w:szCs w:val="20"/>
                <w:color w:val="auto"/>
              </w:rPr>
            </w:pPr>
            <w:r>
              <w:rPr>
                <w:rFonts w:ascii="Times New Roman" w:cs="Times New Roman" w:eastAsia="Times New Roman" w:hAnsi="Times New Roman"/>
                <w:sz w:val="11"/>
                <w:szCs w:val="11"/>
                <w:color w:val="008000"/>
                <w:w w:val="98"/>
              </w:rPr>
              <w:t>(1)(2)(3)</w:t>
            </w:r>
          </w:p>
        </w:tc>
        <w:tc>
          <w:tcPr>
            <w:tcW w:w="1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589,353</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2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06/01/2026</w:t>
            </w:r>
          </w:p>
        </w:tc>
        <w:tc>
          <w:tcPr>
            <w:tcW w:w="2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J</w:t>
            </w:r>
            <w:r>
              <w:rPr>
                <w:rFonts w:ascii="Times New Roman" w:cs="Times New Roman" w:eastAsia="Times New Roman" w:hAnsi="Times New Roman"/>
                <w:sz w:val="11"/>
                <w:szCs w:val="11"/>
                <w:color w:val="008000"/>
              </w:rPr>
              <w:t>(1)(2)(3)</w:t>
            </w:r>
          </w:p>
        </w:tc>
        <w:tc>
          <w:tcPr>
            <w:tcW w:w="1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9"/>
              </w:rPr>
              <w:t>2,000</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ind w:left="98"/>
              <w:spacing w:after="0"/>
              <w:rPr>
                <w:sz w:val="20"/>
                <w:szCs w:val="20"/>
                <w:color w:val="auto"/>
              </w:rPr>
            </w:pPr>
            <w:r>
              <w:rPr>
                <w:rFonts w:ascii="Times New Roman" w:cs="Times New Roman" w:eastAsia="Times New Roman" w:hAnsi="Times New Roman"/>
                <w:sz w:val="11"/>
                <w:szCs w:val="11"/>
                <w:color w:val="008000"/>
                <w:w w:val="98"/>
              </w:rPr>
              <w:t>(1)(2)(3)</w:t>
            </w:r>
          </w:p>
        </w:tc>
        <w:tc>
          <w:tcPr>
            <w:tcW w:w="1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91,852</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2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06/01/2026</w:t>
            </w:r>
          </w:p>
        </w:tc>
        <w:tc>
          <w:tcPr>
            <w:tcW w:w="2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(4)</w:t>
            </w:r>
          </w:p>
        </w:tc>
        <w:tc>
          <w:tcPr>
            <w:tcW w:w="1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9"/>
              </w:rPr>
              <w:t>2,000</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45.99</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89,852</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4"/>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60" w:type="dxa"/>
            <w:vAlign w:val="bottom"/>
            <w:gridSpan w:val="11"/>
          </w:tcPr>
          <w:p>
            <w:pPr>
              <w:ind w:left="5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4"/>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Acquired</w:t>
            </w: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(A) or</w:t>
            </w: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Disposed</w:t>
            </w: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(D)</w:t>
            </w: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 4</w:t>
            </w: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80" w:type="dxa"/>
            <w:vAlign w:val="bottom"/>
          </w:tcPr>
          <w:p>
            <w:pPr>
              <w:spacing w:after="0"/>
              <w:rPr>
                <w:sz w:val="11"/>
                <w:szCs w:val="11"/>
                <w:color w:val="auto"/>
              </w:rPr>
            </w:pP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26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Symbotic</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25"/>
                <w:szCs w:val="25"/>
                <w:color w:val="0000FF"/>
                <w:w w:val="97"/>
                <w:vertAlign w:val="subscript"/>
              </w:rPr>
              <w:t>J</w:t>
            </w:r>
            <w:r>
              <w:rPr>
                <w:rFonts w:ascii="Times New Roman" w:cs="Times New Roman" w:eastAsia="Times New Roman" w:hAnsi="Times New Roman"/>
                <w:sz w:val="11"/>
                <w:szCs w:val="11"/>
                <w:color w:val="008000"/>
                <w:w w:val="97"/>
              </w:rPr>
              <w:t>(1)(2)(3)</w:t>
            </w: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2,000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Holdings</w:t>
            </w:r>
          </w:p>
        </w:tc>
        <w:tc>
          <w:tcPr>
            <w:tcW w:w="78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(1)(2)</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06/01/2026</w:t>
            </w:r>
          </w:p>
        </w:tc>
        <w:tc>
          <w:tcPr>
            <w:tcW w:w="11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2,000</w:t>
            </w:r>
          </w:p>
        </w:tc>
        <w:tc>
          <w:tcPr>
            <w:tcW w:w="60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008000"/>
              </w:rPr>
              <w:t>(1)(2)</w:t>
            </w:r>
          </w:p>
        </w:tc>
        <w:tc>
          <w:tcPr>
            <w:tcW w:w="180" w:type="dxa"/>
            <w:vAlign w:val="bottom"/>
          </w:tcPr>
          <w:p>
            <w:pPr>
              <w:spacing w:after="0"/>
              <w:rPr>
                <w:sz w:val="13"/>
                <w:szCs w:val="13"/>
                <w:color w:val="auto"/>
              </w:rPr>
            </w:pPr>
          </w:p>
        </w:tc>
        <w:tc>
          <w:tcPr>
            <w:tcW w:w="720" w:type="dxa"/>
            <w:vAlign w:val="bottom"/>
          </w:tcPr>
          <w:p>
            <w:pPr>
              <w:ind w:left="200"/>
              <w:spacing w:after="0"/>
              <w:rPr>
                <w:sz w:val="20"/>
                <w:szCs w:val="20"/>
                <w:color w:val="auto"/>
              </w:rPr>
            </w:pPr>
            <w:r>
              <w:rPr>
                <w:rFonts w:ascii="Times New Roman" w:cs="Times New Roman" w:eastAsia="Times New Roman" w:hAnsi="Times New Roman"/>
                <w:sz w:val="11"/>
                <w:szCs w:val="11"/>
                <w:color w:val="008000"/>
              </w:rPr>
              <w:t>(1)(2)</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1"/>
                <w:szCs w:val="11"/>
                <w:color w:val="008000"/>
              </w:rPr>
              <w:t>(1)(2)</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589,353</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ind w:left="60"/>
              <w:spacing w:after="0" w:line="224" w:lineRule="exact"/>
              <w:rPr>
                <w:sz w:val="20"/>
                <w:szCs w:val="20"/>
                <w:color w:val="auto"/>
              </w:rPr>
            </w:pPr>
            <w:r>
              <w:rPr>
                <w:rFonts w:ascii="Times New Roman" w:cs="Times New Roman" w:eastAsia="Times New Roman" w:hAnsi="Times New Roman"/>
                <w:sz w:val="25"/>
                <w:szCs w:val="25"/>
                <w:color w:val="0000FF"/>
                <w:w w:val="93"/>
                <w:vertAlign w:val="subscript"/>
              </w:rPr>
              <w:t>Units</w:t>
            </w:r>
            <w:r>
              <w:rPr>
                <w:rFonts w:ascii="Times New Roman" w:cs="Times New Roman" w:eastAsia="Times New Roman" w:hAnsi="Times New Roman"/>
                <w:sz w:val="11"/>
                <w:szCs w:val="11"/>
                <w:color w:val="008000"/>
                <w:w w:val="93"/>
              </w:rPr>
              <w:t>(1)(2)(3)</w:t>
            </w:r>
          </w:p>
        </w:tc>
        <w:tc>
          <w:tcPr>
            <w:tcW w:w="78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1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-2113280</wp:posOffset>
            </wp:positionV>
            <wp:extent cx="29210" cy="21183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836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Class V-1 Common Stock of the Issuer have no economic rights and each share of Class V-1 Common Stock entitles its holder to 1 vote per share.</w:t>
      </w:r>
    </w:p>
    <w:p>
      <w:pPr>
        <w:spacing w:after="0" w:line="44" w:lineRule="exact"/>
        <w:rPr>
          <w:rFonts w:ascii="Times New Roman" w:cs="Times New Roman" w:eastAsia="Times New Roman" w:hAnsi="Times New Roman"/>
          <w:sz w:val="13"/>
          <w:szCs w:val="13"/>
          <w:color w:val="008000"/>
        </w:rPr>
      </w:pPr>
    </w:p>
    <w:p>
      <w:pPr>
        <w:ind w:left="40" w:right="160" w:firstLine="2"/>
        <w:spacing w:after="0" w:line="23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term "Symbotic Holdings Units" is used herein to represent limited liability company units of Symbotic Holdings LLC ("Symbotic Holdings") and an equal number of paired shares of Class V-1 Common Stock of the Issuer, which, pursuant to the limited liability company agreement of Symbotic Holdings, are redeemable by the holder on a one-for-one basis for a share of Class A Common Stock of the Issuer, subject to conversion rate adjustments for stock splits, stock dividends, reclassification and other similar transactions, and in accordance with other terms and conditions set forth in Symbotic Holdings' Second Amended and Restated Limited Liability Company Agreement, dated as of June 7, 2022. Upon redemption, the Issuer will cancel the Symbotic Holdings Units and cancel and retire for no consideration the redeemed shares of Class V-1 Common Stock.</w:t>
      </w:r>
    </w:p>
    <w:p>
      <w:pPr>
        <w:spacing w:after="0" w:line="27" w:lineRule="exact"/>
        <w:rPr>
          <w:rFonts w:ascii="Times New Roman" w:cs="Times New Roman" w:eastAsia="Times New Roman" w:hAnsi="Times New Roman"/>
          <w:sz w:val="13"/>
          <w:szCs w:val="13"/>
          <w:color w:val="008000"/>
        </w:rPr>
      </w:pPr>
    </w:p>
    <w:p>
      <w:pPr>
        <w:ind w:left="40" w:right="160" w:firstLine="2"/>
        <w:spacing w:after="0" w:line="23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 2026, the Reporting Person sold 2,000 shares of Class A Common Stock pursuant to a trading plan entered into by the Reporting Person on December 8, 2025, in accordance with Rule 10b5-1 of the Securities Exchange Act of 1934, as amended (the "Stock Sale"). In connection with the Stock Sale and pursuant to the terms of the trading plan, effective June 1, 2026, the Reporting Person redeemed 2,000 Symbotic Holdings Units in exchange for an equal number of shares of Class A Common Stock (the "Redemption"). In connection with the Redemption, Symbotic Holdings canceled the Symbotic Holdings Units, and the Issuer canceled and retired for no consideration the redeemed 2,000 shares of Class V-1 Common Stock.</w:t>
      </w:r>
    </w:p>
    <w:p>
      <w:pPr>
        <w:spacing w:after="0" w:line="2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pursuant to a trading plan entered into by the Reporting Person on Decmeber 8, 2025, in accordance with Rule 10b5-1 of the Securities Exchange Act of 1934, as amended.</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Corey Dufresne,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06/03/2026</w:t>
            </w:r>
          </w:p>
        </w:tc>
        <w:tc>
          <w:tcPr>
            <w:tcW w:w="0" w:type="dxa"/>
            <w:vAlign w:val="bottom"/>
          </w:tcPr>
          <w:p>
            <w:pPr>
              <w:spacing w:after="0"/>
              <w:rPr>
                <w:sz w:val="1"/>
                <w:szCs w:val="1"/>
                <w:color w:val="auto"/>
              </w:rPr>
            </w:pPr>
          </w:p>
        </w:tc>
      </w:tr>
      <w:tr>
        <w:trPr>
          <w:trHeight w:val="88"/>
        </w:trPr>
        <w:tc>
          <w:tcPr>
            <w:tcW w:w="200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in-Fact for Charles Kane</w:t>
            </w:r>
          </w:p>
        </w:tc>
        <w:tc>
          <w:tcPr>
            <w:tcW w:w="2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60" w:type="dxa"/>
            <w:vAlign w:val="bottom"/>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7"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8" w:right="359" w:bottom="104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03561" TargetMode="External"/><Relationship Id="rId14" Type="http://schemas.openxmlformats.org/officeDocument/2006/relationships/hyperlink" Target="http://www.sec.gov/cgi-bin/browse-edgar?action=getcompany&amp;CIK=00018372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2026-06-03T18:13:24Z</dcterms:created>
  <dcterms:modified xsi:type="dcterms:W3CDTF">2026-06-03T18:13:24Z</dcterms:modified>
</cp:coreProperties>
</file>