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421430.xml.htm"/>
      <w:bookmarkStart w:id="1" w:name="kswkform4_178942143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Ladensohn David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SYMBOTIC INC., 200 RESEARCH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01887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Symbotic Inc.</w:t>
              </w:r>
            </w:hyperlink>
            <w:r>
              <w:rPr/>
              <w:t xml:space="preserve"> [ </w:t>
            </w:r>
            <w:r>
              <w:rPr>
                <w:rFonts w:ascii="Times;serif" w:hAnsi="Times;serif"/>
                <w:color w:val="0000FF"/>
                <w:sz w:val="24"/>
                <w:shd w:fill="FFFFFF" w:val="clear"/>
              </w:rPr>
              <w:t>SYM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890"/>
        <w:gridCol w:w="922"/>
        <w:gridCol w:w="792"/>
        <w:gridCol w:w="612"/>
        <w:gridCol w:w="337"/>
        <w:gridCol w:w="1003"/>
        <w:gridCol w:w="411"/>
        <w:gridCol w:w="579"/>
        <w:gridCol w:w="1443"/>
        <w:gridCol w:w="955"/>
        <w:gridCol w:w="126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8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8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8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V-1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175,378</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Serenade QSST Trust</w:t>
            </w:r>
            <w:r>
              <w:rPr>
                <w:rFonts w:ascii="Times;serif" w:hAnsi="Times;serif"/>
                <w:color w:val="008000"/>
                <w:position w:val="7"/>
                <w:sz w:val="16"/>
                <w:sz w:val="20"/>
                <w:shd w:fill="FFFFFF" w:val="clear"/>
              </w:rPr>
              <w:t>(2)</w:t>
            </w:r>
          </w:p>
        </w:tc>
      </w:tr>
      <w:tr>
        <w:trPr/>
        <w:tc>
          <w:tcPr>
            <w:tcW w:w="18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V-1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5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320,835</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Tilia Mill Trust</w:t>
            </w:r>
            <w:r>
              <w:rPr>
                <w:rFonts w:ascii="Times;serif" w:hAnsi="Times;serif"/>
                <w:color w:val="008000"/>
                <w:position w:val="7"/>
                <w:sz w:val="16"/>
                <w:sz w:val="20"/>
                <w:shd w:fill="FFFFFF" w:val="clear"/>
              </w:rPr>
              <w:t>(4)</w:t>
            </w:r>
          </w:p>
        </w:tc>
      </w:tr>
      <w:tr>
        <w:trPr/>
        <w:tc>
          <w:tcPr>
            <w:tcW w:w="18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V-3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231,896</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231,896</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PLC 2023 Receptacle Trust</w:t>
            </w:r>
            <w:r>
              <w:rPr>
                <w:rFonts w:ascii="Times;serif" w:hAnsi="Times;serif"/>
                <w:color w:val="008000"/>
                <w:position w:val="7"/>
                <w:sz w:val="16"/>
                <w:sz w:val="20"/>
                <w:shd w:fill="FFFFFF" w:val="clear"/>
              </w:rPr>
              <w:t>(5)</w:t>
            </w:r>
          </w:p>
        </w:tc>
      </w:tr>
      <w:tr>
        <w:trPr/>
        <w:tc>
          <w:tcPr>
            <w:tcW w:w="18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V-3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373,896</w:t>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373,896</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RCK 2024 Receptacle Trust</w:t>
            </w:r>
            <w:r>
              <w:rPr>
                <w:rFonts w:ascii="Times;serif" w:hAnsi="Times;serif"/>
                <w:color w:val="008000"/>
                <w:position w:val="7"/>
                <w:sz w:val="16"/>
                <w:sz w:val="20"/>
                <w:shd w:fill="FFFFFF" w:val="clear"/>
              </w:rPr>
              <w:t>(6)</w:t>
            </w:r>
          </w:p>
        </w:tc>
      </w:tr>
      <w:tr>
        <w:trPr/>
        <w:tc>
          <w:tcPr>
            <w:tcW w:w="18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V-3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10,615,154</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Serenade QSST Trust</w:t>
            </w:r>
            <w:r>
              <w:rPr>
                <w:rFonts w:ascii="Times;serif" w:hAnsi="Times;serif"/>
                <w:color w:val="008000"/>
                <w:position w:val="7"/>
                <w:sz w:val="16"/>
                <w:sz w:val="20"/>
                <w:shd w:fill="FFFFFF" w:val="clear"/>
              </w:rPr>
              <w:t>(2)</w:t>
            </w:r>
          </w:p>
        </w:tc>
      </w:tr>
      <w:tr>
        <w:trPr/>
        <w:tc>
          <w:tcPr>
            <w:tcW w:w="18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V-3 Common Stock</w:t>
            </w:r>
          </w:p>
        </w:tc>
        <w:tc>
          <w:tcPr>
            <w:tcW w:w="9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13,858,144</w:t>
            </w:r>
          </w:p>
        </w:tc>
        <w:tc>
          <w:tcPr>
            <w:tcW w:w="9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Tilia Mill Trust</w:t>
            </w:r>
            <w:r>
              <w:rPr>
                <w:rFonts w:ascii="Times;serif" w:hAnsi="Times;serif"/>
                <w:color w:val="008000"/>
                <w:position w:val="7"/>
                <w:sz w:val="16"/>
                <w:sz w:val="20"/>
                <w:shd w:fill="FFFFFF" w:val="clear"/>
              </w:rPr>
              <w:t>(4)</w:t>
            </w:r>
          </w:p>
        </w:tc>
      </w:tr>
      <w:tr>
        <w:trPr/>
        <w:tc>
          <w:tcPr>
            <w:tcW w:w="18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V-3 Common Stock</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1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151,561,831</w:t>
            </w:r>
          </w:p>
        </w:tc>
        <w:tc>
          <w:tcPr>
            <w:tcW w:w="9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RBC Millennium Trust</w:t>
            </w:r>
            <w:r>
              <w:rPr>
                <w:rFonts w:ascii="Times;serif" w:hAnsi="Times;serif"/>
                <w:color w:val="008000"/>
                <w:position w:val="7"/>
                <w:sz w:val="16"/>
                <w:sz w:val="20"/>
                <w:shd w:fill="FFFFFF" w:val="clear"/>
              </w:rPr>
              <w:t>(7)</w:t>
            </w:r>
          </w:p>
        </w:tc>
      </w:tr>
    </w:tbl>
    <w:tbl>
      <w:tblPr>
        <w:tblW w:w="13859" w:type="dxa"/>
        <w:jc w:val="left"/>
        <w:tblInd w:w="-7" w:type="dxa"/>
        <w:tblLayout w:type="fixed"/>
        <w:tblCellMar>
          <w:top w:w="60" w:type="dxa"/>
          <w:left w:w="60" w:type="dxa"/>
          <w:bottom w:w="60" w:type="dxa"/>
          <w:right w:w="60" w:type="dxa"/>
        </w:tblCellMar>
      </w:tblPr>
      <w:tblGrid>
        <w:gridCol w:w="935"/>
        <w:gridCol w:w="861"/>
        <w:gridCol w:w="891"/>
        <w:gridCol w:w="771"/>
        <w:gridCol w:w="591"/>
        <w:gridCol w:w="300"/>
        <w:gridCol w:w="816"/>
        <w:gridCol w:w="816"/>
        <w:gridCol w:w="906"/>
        <w:gridCol w:w="801"/>
        <w:gridCol w:w="891"/>
        <w:gridCol w:w="1341"/>
        <w:gridCol w:w="801"/>
        <w:gridCol w:w="1176"/>
        <w:gridCol w:w="831"/>
        <w:gridCol w:w="1131"/>
      </w:tblGrid>
      <w:tr>
        <w:trPr>
          <w:tblHeader w:val="true"/>
        </w:trPr>
        <w:tc>
          <w:tcPr>
            <w:tcW w:w="138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3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2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1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11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3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34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Symbotic Holdings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10,790,532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The Serenade QSST Trust</w:t>
            </w:r>
            <w:r>
              <w:rPr>
                <w:rFonts w:ascii="Times;serif" w:hAnsi="Times;serif"/>
                <w:color w:val="008000"/>
                <w:position w:val="7"/>
                <w:sz w:val="16"/>
                <w:sz w:val="20"/>
                <w:shd w:fill="FFFFFF" w:val="clear"/>
              </w:rPr>
              <w:t>(2)</w:t>
            </w:r>
          </w:p>
        </w:tc>
      </w:tr>
      <w:tr>
        <w:trPr/>
        <w:tc>
          <w:tcPr>
            <w:tcW w:w="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Symbotic Holdings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(3)</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200,000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14,178,979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The Tilia Mill Trust</w:t>
            </w:r>
            <w:r>
              <w:rPr>
                <w:rFonts w:ascii="Times;serif" w:hAnsi="Times;serif"/>
                <w:color w:val="008000"/>
                <w:position w:val="7"/>
                <w:sz w:val="16"/>
                <w:sz w:val="20"/>
                <w:shd w:fill="FFFFFF" w:val="clear"/>
              </w:rPr>
              <w:t>(4)</w:t>
            </w:r>
          </w:p>
        </w:tc>
      </w:tr>
      <w:tr>
        <w:trPr/>
        <w:tc>
          <w:tcPr>
            <w:tcW w:w="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Symbotic Holdings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231,896</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231,896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231,896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The PLC 2023 Receptacle Trust</w:t>
            </w:r>
            <w:r>
              <w:rPr>
                <w:rFonts w:ascii="Times;serif" w:hAnsi="Times;serif"/>
                <w:color w:val="008000"/>
                <w:position w:val="7"/>
                <w:sz w:val="16"/>
                <w:sz w:val="20"/>
                <w:shd w:fill="FFFFFF" w:val="clear"/>
              </w:rPr>
              <w:t>(5)</w:t>
            </w:r>
          </w:p>
        </w:tc>
      </w:tr>
      <w:tr>
        <w:trPr/>
        <w:tc>
          <w:tcPr>
            <w:tcW w:w="93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Symbotic Holdings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373,896</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373,896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11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373,896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The RCK 2024 Receptacle Trust</w:t>
            </w:r>
            <w:r>
              <w:rPr>
                <w:rFonts w:ascii="Times;serif" w:hAnsi="Times;serif"/>
                <w:color w:val="008000"/>
                <w:position w:val="7"/>
                <w:sz w:val="16"/>
                <w:sz w:val="20"/>
                <w:shd w:fill="FFFFFF" w:val="clear"/>
              </w:rPr>
              <w:t>(6)</w:t>
            </w:r>
          </w:p>
        </w:tc>
      </w:tr>
      <w:tr>
        <w:trPr/>
        <w:tc>
          <w:tcPr>
            <w:tcW w:w="93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Symbotic Holdings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3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151,561,831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151,561,831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11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The RBC Millennium Trust</w:t>
            </w:r>
            <w:r>
              <w:rPr>
                <w:rFonts w:ascii="Times;serif" w:hAnsi="Times;serif"/>
                <w:color w:val="008000"/>
                <w:position w:val="7"/>
                <w:sz w:val="16"/>
                <w:sz w:val="20"/>
                <w:shd w:fill="FFFFFF" w:val="clear"/>
              </w:rPr>
              <w:t>(7)</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10, 2026, The Serenade QSST Trust distributed 200,000 shares of Class V-1 common stock and an equal number of paired Symbotic Holdings Units to the beneficiary of the trust. Mr. Ladensohn disclaims beneficial ownership of such securities. The filing of this Form 4 shall not be deemed an admission that the Reporting Person is the beneficial owner of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David A. Ladensohn may be considered the beneficial owner of shares of securities held of record by The Serenade QSST Trust, in which Mr. Ladensohn is a trustee. Mr. Ladensohn disclaims beneficial ownership of such securities. The filing of this Form 4 shall not be deemed an admission that the Reporting Person is the beneficial owner of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September 10, 2026, The Tilia Mill Trust distributed 200,000 shares of Class V-1 common stock and an equal number of paired Symbotic Holdings Units to the beneficiary of the trust. Mr. Ladensohn disclaims beneficial ownership of such securities. The filing of this Form 4 shall not be deemed an admission that the Reporting Person is the beneficial owner of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David A. Ladensohn may be considered the beneficial owner of shares of securities held of record by The Tilia Mill Trust, in which Mr. Ladensohn is a co-trustee. Mr. Ladensohn disclaims beneficial ownership of such securities. The filing of this Form 4 shall not be deemed an admission that the Reporting Person is the beneficial owners of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David A. Ladensohn may be considered the beneficial owner of shares of securities held of record by The PLC 2023 Receptacle Trust, in which Mr. Ladensohn is a co-trustee. Mr. Ladensohn disclaims beneficial ownership of such securities. The filing of this Form 4 shall not be deemed an admission that the Reporting Person is the beneficial owner of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David A. Ladensohn may be considered the beneficial owner of shares of securities held of record by The RCK 2024 Receptacle Trust, in which Mr. Ladensohn is a co-trustee. Mr. Ladensohn disclaims beneficial ownership of such securities. The filing of this Form 4 shall not be deemed an admission that the Reporting Person is the beneficial owner of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David A. Ladensohn may be considered the beneficial owner of securities held of record by The RBC Millennium Trust, in which Mr. Ladensohn is a co-trustee. Mr. Ladensohn disclaims beneficial ownership of such securities. The filing of this Form 4 shall not be deemed an admission that the Reporting Person is the beneficial owner of such securities for purposes of Section 16 of the Exchange Act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term "Symbotic Holdings Units" is used herein to represent limited liability company units of Symbotic Holdings and an equal number of paired shares of Class V-1 Common Stock or Class V-3 Common Stock of the Issuer, which, pursuant to the limited liability company agreement of Symbotic Holdings, are together redeemable by the holder on a one-for-one basis for a share of Class A Common Stock of the Issuer, subject to conversion rate adjustments for stock splits, stock dividends, reclassification and other similar transactions, and in accordance with other terms and conditions set forth in Symbotic Holdings' Second Amended and Restated Limited Liability Company Agreement, dated as of June 7, 2022. Upon redemption, the Issuer will cancel the Symbotic Holdings Units and cancel and retire for no consideration the redeemed shares of Class V-1 Common Stock or Class V-3 Common Stock, as applicable.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Corey Dufresne, Attorney-in-Fact for David A. Ladensohn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32967" TargetMode="External"/><Relationship Id="rId5" Type="http://schemas.openxmlformats.org/officeDocument/2006/relationships/hyperlink" Target="http://www.sec.gov/cgi-bin/browse-edgar?action=getcompany&amp;CIK=000183724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1432</Words>
  <Characters>7382</Characters>
  <CharactersWithSpaces>8639</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