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6579.xml.htm"/>
      <w:bookmarkStart w:id="1" w:name="kswkform4_17851865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Boyd William M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60,021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66,306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40.7893</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60,606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41.4602</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57,112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2,909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6,285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Class A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pursuant to a trading plan entered into by the Reporting Person on August 19, 2025, in accordance with Rule 10b5-1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SEC guidance authorizing aggregate reporting of same-day purchases and sales, the shares were sold in multiple transactions at prices ranging from $40.15 to $41.14,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accordance with SEC guidance authorizing aggregate reporting of same-day purchases and sales, the shares were sold in multiple transactions at prices ranging from $41.21 to $41.66,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23, 2024, the Reporting Person was granted 34,908 restricted stock units that vest as follows: 1/3 of the restricted stock units vest on January 23, 2025, and 1/12 of the restricted stock units vest quarterly thereafter, subject to the Reporting Person continued service with the Issuer on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January 23, 2025, the Reporting Person was granted 75,416 restricted stock units that vest as follows: 1/3 of the restricted stock units vest on January 23, 2026, and 1/12 of the restricted stock units vest quarterly thereafter, subject to the Reporting Person continued service with the Issuer on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William M. Boyd,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2973"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964</Words>
  <Characters>5119</Characters>
  <CharactersWithSpaces>5961</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